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0"/>
      </w:pPr>
      <w:r>
        <w:rPr>
          <w:rFonts w:ascii="Arial Unicode MS" w:hAnsi="Arial Unicode MS" w:eastAsia="Arial Unicode MS" w:cs="Arial Unicode MS"/>
          <w:b/>
          <w:i w:val="0"/>
          <w:color w:val="9A7430"/>
          <w:sz w:val="17"/>
        </w:rPr>
        <w:t>健康科技与药品内容团队 · 付费试点</w:t>
      </w:r>
    </w:p>
    <w:p>
      <w:pPr>
        <w:spacing w:after="40"/>
      </w:pPr>
      <w:r>
        <w:rPr>
          <w:rFonts w:ascii="Arial Unicode MS" w:hAnsi="Arial Unicode MS" w:eastAsia="Arial Unicode MS" w:cs="Arial Unicode MS"/>
          <w:b/>
          <w:i w:val="0"/>
          <w:color w:val="0C3128"/>
          <w:sz w:val="44"/>
        </w:rPr>
        <w:t>用 20 个药品档案验证数据能否进入你的产品</w:t>
      </w:r>
    </w:p>
    <w:p>
      <w:pPr>
        <w:spacing w:after="120"/>
      </w:pPr>
      <w:r>
        <w:rPr>
          <w:rFonts w:ascii="Arial Unicode MS" w:hAnsi="Arial Unicode MS" w:eastAsia="Arial Unicode MS" w:cs="Arial Unicode MS"/>
          <w:b/>
          <w:i w:val="0"/>
          <w:color w:val="52655F"/>
          <w:sz w:val="20"/>
        </w:rPr>
        <w:t>先交付一个边界固定、来源可追溯的小样本，再决定是否扩展。</w:t>
      </w:r>
    </w:p>
    <w:tbl>
      <w:tblPr>
        <w:tblW w:type="dxa" w:w="9360"/>
        <w:jc w:val="left"/>
        <w:tblLayout w:type="fixed"/>
        <w:tblLook w:firstColumn="1" w:firstRow="1" w:lastColumn="0" w:lastRow="0" w:noHBand="0" w:noVBand="1" w:val="04A0"/>
        <w:tblInd w:w="120" w:type="dxa"/>
        <w:tblBorders>
          <w:top w:val="single" w:sz="4" w:color="0C3128"/>
          <w:left w:val="single" w:sz="4" w:color="0C3128"/>
          <w:bottom w:val="single" w:sz="4" w:color="0C3128"/>
          <w:right w:val="single" w:sz="4" w:color="0C3128"/>
          <w:insideH w:val="single" w:sz="4" w:color="0C3128"/>
          <w:insideV w:val="single" w:sz="4" w:color="0C3128"/>
        </w:tblBorders>
      </w:tblPr>
      <w:tblGrid>
        <w:gridCol w:w="2340"/>
        <w:gridCol w:w="2340"/>
        <w:gridCol w:w="2340"/>
        <w:gridCol w:w="2340"/>
      </w:tblGrid>
      <w:tr>
        <w:tc>
          <w:tcPr>
            <w:tcW w:type="dxa" w:w="2340"/>
            <w:shd w:fill="0C3128"/>
            <w:tcMar>
              <w:top w:w="85" w:type="dxa"/>
              <w:start w:w="130" w:type="dxa"/>
              <w:bottom w:w="85" w:type="dxa"/>
              <w:end w:w="130" w:type="dxa"/>
            </w:tcMar>
            <w:vAlign w:val="center"/>
          </w:tcPr>
          <w:p>
            <w:pPr>
              <w:spacing w:after="20"/>
              <w:jc w:val="center"/>
            </w:pPr>
            <w:r/>
            <w:r>
              <w:rPr>
                <w:rFonts w:ascii="Arial Unicode MS" w:hAnsi="Arial Unicode MS" w:eastAsia="Arial Unicode MS" w:cs="Arial Unicode MS"/>
                <w:b/>
                <w:i w:val="0"/>
                <w:color w:val="FFFFFF"/>
                <w:sz w:val="32"/>
              </w:rPr>
              <w:t>20</w:t>
            </w:r>
          </w:p>
          <w:p>
            <w:pPr>
              <w:spacing w:after="0"/>
              <w:jc w:val="center"/>
            </w:pPr>
            <w:r>
              <w:rPr>
                <w:rFonts w:ascii="Arial Unicode MS" w:hAnsi="Arial Unicode MS" w:eastAsia="Arial Unicode MS" w:cs="Arial Unicode MS"/>
                <w:b w:val="0"/>
                <w:i w:val="0"/>
                <w:color w:val="FFFFFF"/>
                <w:sz w:val="15"/>
              </w:rPr>
              <w:t>指定药品档案</w:t>
            </w:r>
          </w:p>
        </w:tc>
        <w:tc>
          <w:tcPr>
            <w:tcW w:type="dxa" w:w="2340"/>
            <w:shd w:fill="0C3128"/>
            <w:tcMar>
              <w:top w:w="85" w:type="dxa"/>
              <w:start w:w="130" w:type="dxa"/>
              <w:bottom w:w="85" w:type="dxa"/>
              <w:end w:w="130" w:type="dxa"/>
            </w:tcMar>
            <w:vAlign w:val="center"/>
          </w:tcPr>
          <w:p>
            <w:pPr>
              <w:spacing w:after="20"/>
              <w:jc w:val="center"/>
            </w:pPr>
            <w:r/>
            <w:r>
              <w:rPr>
                <w:rFonts w:ascii="Arial Unicode MS" w:hAnsi="Arial Unicode MS" w:eastAsia="Arial Unicode MS" w:cs="Arial Unicode MS"/>
                <w:b/>
                <w:i w:val="0"/>
                <w:color w:val="FFFFFF"/>
                <w:sz w:val="32"/>
              </w:rPr>
              <w:t>1</w:t>
            </w:r>
          </w:p>
          <w:p>
            <w:pPr>
              <w:spacing w:after="0"/>
              <w:jc w:val="center"/>
            </w:pPr>
            <w:r>
              <w:rPr>
                <w:rFonts w:ascii="Arial Unicode MS" w:hAnsi="Arial Unicode MS" w:eastAsia="Arial Unicode MS" w:cs="Arial Unicode MS"/>
                <w:b w:val="0"/>
                <w:i w:val="0"/>
                <w:color w:val="FFFFFF"/>
                <w:sz w:val="15"/>
              </w:rPr>
              <w:t>目标市场</w:t>
            </w:r>
          </w:p>
        </w:tc>
        <w:tc>
          <w:tcPr>
            <w:tcW w:type="dxa" w:w="2340"/>
            <w:shd w:fill="0C3128"/>
            <w:tcMar>
              <w:top w:w="85" w:type="dxa"/>
              <w:start w:w="130" w:type="dxa"/>
              <w:bottom w:w="85" w:type="dxa"/>
              <w:end w:w="130" w:type="dxa"/>
            </w:tcMar>
            <w:vAlign w:val="center"/>
          </w:tcPr>
          <w:p>
            <w:pPr>
              <w:spacing w:after="20"/>
              <w:jc w:val="center"/>
            </w:pPr>
            <w:r/>
            <w:r>
              <w:rPr>
                <w:rFonts w:ascii="Arial Unicode MS" w:hAnsi="Arial Unicode MS" w:eastAsia="Arial Unicode MS" w:cs="Arial Unicode MS"/>
                <w:b/>
                <w:i w:val="0"/>
                <w:color w:val="FFFFFF"/>
                <w:sz w:val="32"/>
              </w:rPr>
              <w:t>中／英</w:t>
            </w:r>
          </w:p>
          <w:p>
            <w:pPr>
              <w:spacing w:after="0"/>
              <w:jc w:val="center"/>
            </w:pPr>
            <w:r>
              <w:rPr>
                <w:rFonts w:ascii="Arial Unicode MS" w:hAnsi="Arial Unicode MS" w:eastAsia="Arial Unicode MS" w:cs="Arial Unicode MS"/>
                <w:b w:val="0"/>
                <w:i w:val="0"/>
                <w:color w:val="FFFFFF"/>
                <w:sz w:val="15"/>
              </w:rPr>
              <w:t>核心字段</w:t>
            </w:r>
          </w:p>
        </w:tc>
        <w:tc>
          <w:tcPr>
            <w:tcW w:type="dxa" w:w="2340"/>
            <w:shd w:fill="0C3128"/>
            <w:tcMar>
              <w:top w:w="85" w:type="dxa"/>
              <w:start w:w="130" w:type="dxa"/>
              <w:bottom w:w="85" w:type="dxa"/>
              <w:end w:w="130" w:type="dxa"/>
            </w:tcMar>
            <w:vAlign w:val="center"/>
          </w:tcPr>
          <w:p>
            <w:pPr>
              <w:spacing w:after="20"/>
              <w:jc w:val="center"/>
            </w:pPr>
            <w:r/>
            <w:r>
              <w:rPr>
                <w:rFonts w:ascii="Arial Unicode MS" w:hAnsi="Arial Unicode MS" w:eastAsia="Arial Unicode MS" w:cs="Arial Unicode MS"/>
                <w:b/>
                <w:i w:val="0"/>
                <w:color w:val="FFFFFF"/>
                <w:sz w:val="32"/>
              </w:rPr>
              <w:t>JSON＋XLSX</w:t>
            </w:r>
          </w:p>
          <w:p>
            <w:pPr>
              <w:spacing w:after="0"/>
              <w:jc w:val="center"/>
            </w:pPr>
            <w:r>
              <w:rPr>
                <w:rFonts w:ascii="Arial Unicode MS" w:hAnsi="Arial Unicode MS" w:eastAsia="Arial Unicode MS" w:cs="Arial Unicode MS"/>
                <w:b w:val="0"/>
                <w:i w:val="0"/>
                <w:color w:val="FFFFFF"/>
                <w:sz w:val="15"/>
              </w:rPr>
              <w:t>一次性交付</w:t>
            </w:r>
          </w:p>
        </w:tc>
      </w:tr>
    </w:tbl>
    <w:p>
      <w:pPr>
        <w:pStyle w:val="Heading1"/>
      </w:pPr>
      <w:r>
        <w:t>采购后会收到什么</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3120"/>
        <w:gridCol w:w="3120"/>
        <w:gridCol w:w="3120"/>
      </w:tblGrid>
      <w:tr>
        <w:tc>
          <w:tcPr>
            <w:tcW w:type="dxa" w:w="3120"/>
            <w:shd w:fill="E7F0EA"/>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可接入的数据</w:t>
            </w:r>
          </w:p>
          <w:p>
            <w:pPr>
              <w:spacing w:after="0" w:line="252" w:lineRule="auto"/>
            </w:pPr>
            <w:r>
              <w:rPr>
                <w:rFonts w:ascii="Arial Unicode MS" w:hAnsi="Arial Unicode MS" w:eastAsia="Arial Unicode MS" w:cs="Arial Unicode MS"/>
                <w:b w:val="0"/>
                <w:i w:val="0"/>
                <w:color w:val="18332D"/>
                <w:sz w:val="17"/>
              </w:rPr>
              <w:t>逐条交付约定字段、商品名、通用名、剂型、规格、市场与内容版本。</w:t>
            </w:r>
          </w:p>
        </w:tc>
        <w:tc>
          <w:tcPr>
            <w:tcW w:type="dxa" w:w="3120"/>
            <w:shd w:fill="E7F0EA"/>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可追溯的证据</w:t>
            </w:r>
          </w:p>
          <w:p>
            <w:pPr>
              <w:spacing w:after="0" w:line="252" w:lineRule="auto"/>
            </w:pPr>
            <w:r>
              <w:rPr>
                <w:rFonts w:ascii="Arial Unicode MS" w:hAnsi="Arial Unicode MS" w:eastAsia="Arial Unicode MS" w:cs="Arial Unicode MS"/>
                <w:b w:val="0"/>
                <w:i w:val="0"/>
                <w:color w:val="18332D"/>
                <w:sz w:val="17"/>
              </w:rPr>
              <w:t>每条记录附来源登记、原始链接、市场边界、缺失项和例外清单。</w:t>
            </w:r>
          </w:p>
        </w:tc>
        <w:tc>
          <w:tcPr>
            <w:tcW w:type="dxa" w:w="3120"/>
            <w:shd w:fill="E7F0EA"/>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可执行的接入说明</w:t>
            </w:r>
          </w:p>
          <w:p>
            <w:pPr>
              <w:spacing w:after="0" w:line="252" w:lineRule="auto"/>
            </w:pPr>
            <w:r>
              <w:rPr>
                <w:rFonts w:ascii="Arial Unicode MS" w:hAnsi="Arial Unicode MS" w:eastAsia="Arial Unicode MS" w:cs="Arial Unicode MS"/>
                <w:b w:val="0"/>
                <w:i w:val="0"/>
                <w:color w:val="18332D"/>
                <w:sz w:val="17"/>
              </w:rPr>
              <w:t>附字段字典、JSON/XLSX 文件、显示边界与技术交接说明。</w:t>
            </w:r>
          </w:p>
        </w:tc>
      </w:tr>
    </w:tbl>
    <w:p>
      <w:pPr>
        <w:pStyle w:val="Heading1"/>
      </w:pPr>
      <w:r>
        <w:t>书面验收口径</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620"/>
        <w:gridCol w:w="8740"/>
      </w:tblGrid>
      <w:tr>
        <w:tc>
          <w:tcPr>
            <w:tcW w:type="dxa" w:w="620"/>
            <w:shd w:fill="9A7430"/>
            <w:tcMar>
              <w:top w:w="85" w:type="dxa"/>
              <w:start w:w="130" w:type="dxa"/>
              <w:bottom w:w="85" w:type="dxa"/>
              <w:end w:w="130" w:type="dxa"/>
            </w:tcMar>
            <w:vAlign w:val="center"/>
          </w:tcPr>
          <w:p>
            <w:pPr>
              <w:jc w:val="center"/>
            </w:pPr>
            <w:r>
              <w:rPr>
                <w:rFonts w:ascii="Arial Unicode MS" w:hAnsi="Arial Unicode MS" w:eastAsia="Arial Unicode MS" w:cs="Arial Unicode MS"/>
                <w:b/>
                <w:i w:val="0"/>
                <w:color w:val="FFFFFF"/>
                <w:sz w:val="26"/>
              </w:rPr>
              <w:t>1</w:t>
            </w:r>
          </w:p>
        </w:tc>
        <w:tc>
          <w:tcPr>
            <w:tcW w:type="dxa" w:w="8740"/>
            <w:shd w:fill="FFFFFF"/>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字段与来源</w:t>
            </w:r>
          </w:p>
          <w:p>
            <w:pPr>
              <w:spacing w:after="0" w:line="252" w:lineRule="auto"/>
            </w:pPr>
            <w:r>
              <w:rPr>
                <w:rFonts w:ascii="Arial Unicode MS" w:hAnsi="Arial Unicode MS" w:eastAsia="Arial Unicode MS" w:cs="Arial Unicode MS"/>
                <w:b w:val="0"/>
                <w:i w:val="0"/>
                <w:color w:val="18332D"/>
                <w:sz w:val="17"/>
              </w:rPr>
              <w:t>约定字段齐全，并能回到指定的一手来源。</w:t>
            </w:r>
          </w:p>
        </w:tc>
      </w:tr>
      <w:tr>
        <w:tc>
          <w:tcPr>
            <w:tcW w:type="dxa" w:w="620"/>
            <w:shd w:fill="9A7430"/>
            <w:tcMar>
              <w:top w:w="85" w:type="dxa"/>
              <w:start w:w="130" w:type="dxa"/>
              <w:bottom w:w="85" w:type="dxa"/>
              <w:end w:w="130" w:type="dxa"/>
            </w:tcMar>
            <w:vAlign w:val="center"/>
          </w:tcPr>
          <w:p>
            <w:pPr>
              <w:jc w:val="center"/>
            </w:pPr>
            <w:r>
              <w:rPr>
                <w:rFonts w:ascii="Arial Unicode MS" w:hAnsi="Arial Unicode MS" w:eastAsia="Arial Unicode MS" w:cs="Arial Unicode MS"/>
                <w:b/>
                <w:i w:val="0"/>
                <w:color w:val="FFFFFF"/>
                <w:sz w:val="26"/>
              </w:rPr>
              <w:t>2</w:t>
            </w:r>
          </w:p>
        </w:tc>
        <w:tc>
          <w:tcPr>
            <w:tcW w:type="dxa" w:w="8740"/>
            <w:shd w:fill="FFFFFF"/>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身份与市场</w:t>
            </w:r>
          </w:p>
          <w:p>
            <w:pPr>
              <w:spacing w:after="0" w:line="252" w:lineRule="auto"/>
            </w:pPr>
            <w:r>
              <w:rPr>
                <w:rFonts w:ascii="Arial Unicode MS" w:hAnsi="Arial Unicode MS" w:eastAsia="Arial Unicode MS" w:cs="Arial Unicode MS"/>
                <w:b w:val="0"/>
                <w:i w:val="0"/>
                <w:color w:val="18332D"/>
                <w:sz w:val="17"/>
              </w:rPr>
              <w:t>商品名、通用名、剂型和规格不跨市场混写。</w:t>
            </w:r>
          </w:p>
        </w:tc>
      </w:tr>
      <w:tr>
        <w:tc>
          <w:tcPr>
            <w:tcW w:type="dxa" w:w="620"/>
            <w:shd w:fill="9A7430"/>
            <w:tcMar>
              <w:top w:w="85" w:type="dxa"/>
              <w:start w:w="130" w:type="dxa"/>
              <w:bottom w:w="85" w:type="dxa"/>
              <w:end w:w="130" w:type="dxa"/>
            </w:tcMar>
            <w:vAlign w:val="center"/>
          </w:tcPr>
          <w:p>
            <w:pPr>
              <w:jc w:val="center"/>
            </w:pPr>
            <w:r>
              <w:rPr>
                <w:rFonts w:ascii="Arial Unicode MS" w:hAnsi="Arial Unicode MS" w:eastAsia="Arial Unicode MS" w:cs="Arial Unicode MS"/>
                <w:b/>
                <w:i w:val="0"/>
                <w:color w:val="FFFFFF"/>
                <w:sz w:val="26"/>
              </w:rPr>
              <w:t>3</w:t>
            </w:r>
          </w:p>
        </w:tc>
        <w:tc>
          <w:tcPr>
            <w:tcW w:type="dxa" w:w="8740"/>
            <w:shd w:fill="FFFFFF"/>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例外与边界</w:t>
            </w:r>
          </w:p>
          <w:p>
            <w:pPr>
              <w:spacing w:after="0" w:line="252" w:lineRule="auto"/>
            </w:pPr>
            <w:r>
              <w:rPr>
                <w:rFonts w:ascii="Arial Unicode MS" w:hAnsi="Arial Unicode MS" w:eastAsia="Arial Unicode MS" w:cs="Arial Unicode MS"/>
                <w:b w:val="0"/>
                <w:i w:val="0"/>
                <w:color w:val="18332D"/>
                <w:sz w:val="17"/>
              </w:rPr>
              <w:t>历史文件、缺失和无法确认项明确标记；不生成个人用药结论。</w:t>
            </w:r>
          </w:p>
        </w:tc>
      </w:tr>
    </w:tbl>
    <w:p>
      <w:pPr>
        <w:pStyle w:val="Heading1"/>
      </w:pPr>
      <w:r>
        <w:t>最小启动范围与商业边界</w:t>
      </w:r>
    </w:p>
    <w:tbl>
      <w:tblPr>
        <w:tblW w:type="dxa" w:w="9360"/>
        <w:jc w:val="left"/>
        <w:tblLayout w:type="fixed"/>
        <w:tblLook w:firstColumn="1" w:firstRow="1" w:lastColumn="0" w:lastRow="0" w:noHBand="0" w:noVBand="1" w:val="04A0"/>
        <w:tblInd w:w="120" w:type="dxa"/>
        <w:tblBorders>
          <w:top w:val="single" w:sz="8" w:color="9A7430"/>
          <w:left w:val="single" w:sz="8" w:color="9A7430"/>
          <w:bottom w:val="single" w:sz="8" w:color="9A7430"/>
          <w:right w:val="single" w:sz="8" w:color="9A7430"/>
          <w:insideH w:val="single" w:sz="8" w:color="9A7430"/>
          <w:insideV w:val="single" w:sz="8" w:color="9A7430"/>
        </w:tblBorders>
      </w:tblPr>
      <w:tblGrid>
        <w:gridCol w:w="9360"/>
      </w:tblGrid>
      <w:tr>
        <w:tc>
          <w:tcPr>
            <w:tcW w:type="dxa" w:w="9360"/>
            <w:shd w:fill="F4F0E6"/>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9A7430"/>
                <w:sz w:val="20"/>
              </w:rPr>
              <w:t>最小启动范围与商业边界</w:t>
            </w:r>
          </w:p>
          <w:p>
            <w:pPr>
              <w:spacing w:after="0" w:line="252" w:lineRule="auto"/>
            </w:pPr>
            <w:r>
              <w:rPr>
                <w:rFonts w:ascii="Arial Unicode MS" w:hAnsi="Arial Unicode MS" w:eastAsia="Arial Unicode MS" w:cs="Arial Unicode MS"/>
                <w:b w:val="0"/>
                <w:i w:val="0"/>
                <w:color w:val="18332D"/>
                <w:sz w:val="17"/>
              </w:rPr>
              <w:t>20 个指定药品、1 个目标市场、中英文核心字段，JSON 与 XLSX 各一份。金额待财务最终确认。服务销售的是公开药品信息的整理、来源维护和显示边界，不销售药品，不处理患者数据，也不转让原始来源版权。</w:t>
            </w:r>
          </w:p>
        </w:tc>
      </w:tr>
    </w:tbl>
    <w:p>
      <w:pPr>
        <w:spacing w:before="140" w:after="20"/>
      </w:pPr>
      <w:r>
        <w:rPr>
          <w:rFonts w:ascii="Arial Unicode MS" w:hAnsi="Arial Unicode MS" w:eastAsia="Arial Unicode MS" w:cs="Arial Unicode MS"/>
          <w:b/>
          <w:i w:val="0"/>
          <w:color w:val="0C3128"/>
          <w:sz w:val="18"/>
        </w:rPr>
        <w:t xml:space="preserve">发送机构官网、药品清单、目标市场、交付格式和期望时间，获取书面范围与报价： </w:t>
      </w:r>
      <w:hyperlink r:id="rId11">
        <w:r>
          <w:rPr>
            <w:rFonts w:ascii="STSong" w:hAnsi="STSong" w:eastAsia="STSong"/>
            <w:color w:val="164C3E"/>
            <w:sz w:val="18"/>
            <w:b/>
            <w:u w:val="single"/>
          </w:rPr>
          <w:t>stevenyiqingli@foxmail.com</w:t>
        </w:r>
      </w:hyperlink>
    </w:p>
    <w:p>
      <w:r>
        <w:br w:type="page"/>
      </w:r>
    </w:p>
    <w:p>
      <w:pPr>
        <w:spacing w:before="40" w:after="40"/>
      </w:pPr>
      <w:r>
        <w:rPr>
          <w:rFonts w:ascii="Arial Unicode MS" w:hAnsi="Arial Unicode MS" w:eastAsia="Arial Unicode MS" w:cs="Arial Unicode MS"/>
          <w:b/>
          <w:i w:val="0"/>
          <w:color w:val="9A7430"/>
          <w:sz w:val="17"/>
        </w:rPr>
        <w:t>HEALTH-TECH AND MEDICINE-CONTENT TEAMS · PAID PILOT</w:t>
      </w:r>
    </w:p>
    <w:p>
      <w:pPr>
        <w:spacing w:after="40"/>
      </w:pPr>
      <w:r>
        <w:rPr>
          <w:rFonts w:ascii="Arial Unicode MS" w:hAnsi="Arial Unicode MS" w:eastAsia="Arial Unicode MS" w:cs="Arial Unicode MS"/>
          <w:b/>
          <w:i w:val="0"/>
          <w:color w:val="0C3128"/>
          <w:sz w:val="40"/>
        </w:rPr>
        <w:t>Test product fit with 20 traceable medicine records</w:t>
      </w:r>
    </w:p>
    <w:p>
      <w:pPr>
        <w:spacing w:after="120"/>
      </w:pPr>
      <w:r>
        <w:rPr>
          <w:rFonts w:ascii="Arial Unicode MS" w:hAnsi="Arial Unicode MS" w:eastAsia="Arial Unicode MS" w:cs="Arial Unicode MS"/>
          <w:b/>
          <w:i w:val="0"/>
          <w:color w:val="52655F"/>
          <w:sz w:val="20"/>
        </w:rPr>
        <w:t>Start with a bounded, source-linked sample before deciding whether to expand.</w:t>
      </w:r>
    </w:p>
    <w:tbl>
      <w:tblPr>
        <w:tblW w:type="dxa" w:w="9360"/>
        <w:jc w:val="left"/>
        <w:tblLayout w:type="fixed"/>
        <w:tblLook w:firstColumn="1" w:firstRow="1" w:lastColumn="0" w:lastRow="0" w:noHBand="0" w:noVBand="1" w:val="04A0"/>
        <w:tblInd w:w="120" w:type="dxa"/>
        <w:tblBorders>
          <w:top w:val="single" w:sz="4" w:color="0C3128"/>
          <w:left w:val="single" w:sz="4" w:color="0C3128"/>
          <w:bottom w:val="single" w:sz="4" w:color="0C3128"/>
          <w:right w:val="single" w:sz="4" w:color="0C3128"/>
          <w:insideH w:val="single" w:sz="4" w:color="0C3128"/>
          <w:insideV w:val="single" w:sz="4" w:color="0C3128"/>
        </w:tblBorders>
      </w:tblPr>
      <w:tblGrid>
        <w:gridCol w:w="2340"/>
        <w:gridCol w:w="2340"/>
        <w:gridCol w:w="2340"/>
        <w:gridCol w:w="2340"/>
      </w:tblGrid>
      <w:tr>
        <w:tc>
          <w:tcPr>
            <w:tcW w:type="dxa" w:w="2340"/>
            <w:shd w:fill="0C3128"/>
            <w:tcMar>
              <w:top w:w="85" w:type="dxa"/>
              <w:start w:w="130" w:type="dxa"/>
              <w:bottom w:w="85" w:type="dxa"/>
              <w:end w:w="130" w:type="dxa"/>
            </w:tcMar>
            <w:vAlign w:val="center"/>
          </w:tcPr>
          <w:p>
            <w:pPr>
              <w:spacing w:after="20"/>
              <w:jc w:val="center"/>
            </w:pPr>
            <w:r/>
            <w:r>
              <w:rPr>
                <w:rFonts w:ascii="Arial Unicode MS" w:hAnsi="Arial Unicode MS" w:eastAsia="Arial Unicode MS" w:cs="Arial Unicode MS"/>
                <w:b/>
                <w:i w:val="0"/>
                <w:color w:val="FFFFFF"/>
                <w:sz w:val="32"/>
              </w:rPr>
              <w:t>20</w:t>
            </w:r>
          </w:p>
          <w:p>
            <w:pPr>
              <w:spacing w:after="0"/>
              <w:jc w:val="center"/>
            </w:pPr>
            <w:r>
              <w:rPr>
                <w:rFonts w:ascii="Arial Unicode MS" w:hAnsi="Arial Unicode MS" w:eastAsia="Arial Unicode MS" w:cs="Arial Unicode MS"/>
                <w:b w:val="0"/>
                <w:i w:val="0"/>
                <w:color w:val="FFFFFF"/>
                <w:sz w:val="15"/>
              </w:rPr>
              <w:t>named records</w:t>
            </w:r>
          </w:p>
        </w:tc>
        <w:tc>
          <w:tcPr>
            <w:tcW w:type="dxa" w:w="2340"/>
            <w:shd w:fill="0C3128"/>
            <w:tcMar>
              <w:top w:w="85" w:type="dxa"/>
              <w:start w:w="130" w:type="dxa"/>
              <w:bottom w:w="85" w:type="dxa"/>
              <w:end w:w="130" w:type="dxa"/>
            </w:tcMar>
            <w:vAlign w:val="center"/>
          </w:tcPr>
          <w:p>
            <w:pPr>
              <w:spacing w:after="20"/>
              <w:jc w:val="center"/>
            </w:pPr>
            <w:r/>
            <w:r>
              <w:rPr>
                <w:rFonts w:ascii="Arial Unicode MS" w:hAnsi="Arial Unicode MS" w:eastAsia="Arial Unicode MS" w:cs="Arial Unicode MS"/>
                <w:b/>
                <w:i w:val="0"/>
                <w:color w:val="FFFFFF"/>
                <w:sz w:val="32"/>
              </w:rPr>
              <w:t>1</w:t>
            </w:r>
          </w:p>
          <w:p>
            <w:pPr>
              <w:spacing w:after="0"/>
              <w:jc w:val="center"/>
            </w:pPr>
            <w:r>
              <w:rPr>
                <w:rFonts w:ascii="Arial Unicode MS" w:hAnsi="Arial Unicode MS" w:eastAsia="Arial Unicode MS" w:cs="Arial Unicode MS"/>
                <w:b w:val="0"/>
                <w:i w:val="0"/>
                <w:color w:val="FFFFFF"/>
                <w:sz w:val="15"/>
              </w:rPr>
              <w:t>target market</w:t>
            </w:r>
          </w:p>
        </w:tc>
        <w:tc>
          <w:tcPr>
            <w:tcW w:type="dxa" w:w="2340"/>
            <w:shd w:fill="0C3128"/>
            <w:tcMar>
              <w:top w:w="85" w:type="dxa"/>
              <w:start w:w="130" w:type="dxa"/>
              <w:bottom w:w="85" w:type="dxa"/>
              <w:end w:w="130" w:type="dxa"/>
            </w:tcMar>
            <w:vAlign w:val="center"/>
          </w:tcPr>
          <w:p>
            <w:pPr>
              <w:spacing w:after="20"/>
              <w:jc w:val="center"/>
            </w:pPr>
            <w:r/>
            <w:r>
              <w:rPr>
                <w:rFonts w:ascii="Arial Unicode MS" w:hAnsi="Arial Unicode MS" w:eastAsia="Arial Unicode MS" w:cs="Arial Unicode MS"/>
                <w:b/>
                <w:i w:val="0"/>
                <w:color w:val="FFFFFF"/>
                <w:sz w:val="32"/>
              </w:rPr>
              <w:t>ZH / EN</w:t>
            </w:r>
          </w:p>
          <w:p>
            <w:pPr>
              <w:spacing w:after="0"/>
              <w:jc w:val="center"/>
            </w:pPr>
            <w:r>
              <w:rPr>
                <w:rFonts w:ascii="Arial Unicode MS" w:hAnsi="Arial Unicode MS" w:eastAsia="Arial Unicode MS" w:cs="Arial Unicode MS"/>
                <w:b w:val="0"/>
                <w:i w:val="0"/>
                <w:color w:val="FFFFFF"/>
                <w:sz w:val="15"/>
              </w:rPr>
              <w:t>core fields</w:t>
            </w:r>
          </w:p>
        </w:tc>
        <w:tc>
          <w:tcPr>
            <w:tcW w:type="dxa" w:w="2340"/>
            <w:shd w:fill="0C3128"/>
            <w:tcMar>
              <w:top w:w="85" w:type="dxa"/>
              <w:start w:w="130" w:type="dxa"/>
              <w:bottom w:w="85" w:type="dxa"/>
              <w:end w:w="130" w:type="dxa"/>
            </w:tcMar>
            <w:vAlign w:val="center"/>
          </w:tcPr>
          <w:p>
            <w:pPr>
              <w:spacing w:after="20"/>
              <w:jc w:val="center"/>
            </w:pPr>
            <w:r/>
            <w:r>
              <w:rPr>
                <w:rFonts w:ascii="Arial Unicode MS" w:hAnsi="Arial Unicode MS" w:eastAsia="Arial Unicode MS" w:cs="Arial Unicode MS"/>
                <w:b/>
                <w:i w:val="0"/>
                <w:color w:val="FFFFFF"/>
                <w:sz w:val="32"/>
              </w:rPr>
              <w:t>JSON + XLSX</w:t>
            </w:r>
          </w:p>
          <w:p>
            <w:pPr>
              <w:spacing w:after="0"/>
              <w:jc w:val="center"/>
            </w:pPr>
            <w:r>
              <w:rPr>
                <w:rFonts w:ascii="Arial Unicode MS" w:hAnsi="Arial Unicode MS" w:eastAsia="Arial Unicode MS" w:cs="Arial Unicode MS"/>
                <w:b w:val="0"/>
                <w:i w:val="0"/>
                <w:color w:val="FFFFFF"/>
                <w:sz w:val="15"/>
              </w:rPr>
              <w:t>one-off delivery</w:t>
            </w:r>
          </w:p>
        </w:tc>
      </w:tr>
    </w:tbl>
    <w:p>
      <w:pPr>
        <w:pStyle w:val="Heading1"/>
      </w:pPr>
      <w:r>
        <w:t>What procurement receives</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3120"/>
        <w:gridCol w:w="3120"/>
        <w:gridCol w:w="3120"/>
      </w:tblGrid>
      <w:tr>
        <w:tc>
          <w:tcPr>
            <w:tcW w:type="dxa" w:w="3120"/>
            <w:shd w:fill="E7F0EA"/>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Integration-ready data</w:t>
            </w:r>
          </w:p>
          <w:p>
            <w:pPr>
              <w:spacing w:after="0" w:line="252" w:lineRule="auto"/>
            </w:pPr>
            <w:r>
              <w:rPr>
                <w:rFonts w:ascii="Arial Unicode MS" w:hAnsi="Arial Unicode MS" w:eastAsia="Arial Unicode MS" w:cs="Arial Unicode MS"/>
                <w:b w:val="0"/>
                <w:i w:val="0"/>
                <w:color w:val="18332D"/>
                <w:sz w:val="17"/>
              </w:rPr>
              <w:t>Agreed fields for identity, brand, generic, form, strength, market and content revision.</w:t>
            </w:r>
          </w:p>
        </w:tc>
        <w:tc>
          <w:tcPr>
            <w:tcW w:type="dxa" w:w="3120"/>
            <w:shd w:fill="E7F0EA"/>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Traceable evidence</w:t>
            </w:r>
          </w:p>
          <w:p>
            <w:pPr>
              <w:spacing w:after="0" w:line="252" w:lineRule="auto"/>
            </w:pPr>
            <w:r>
              <w:rPr>
                <w:rFonts w:ascii="Arial Unicode MS" w:hAnsi="Arial Unicode MS" w:eastAsia="Arial Unicode MS" w:cs="Arial Unicode MS"/>
                <w:b w:val="0"/>
                <w:i w:val="0"/>
                <w:color w:val="18332D"/>
                <w:sz w:val="17"/>
              </w:rPr>
              <w:t>A source register, original links, market boundary, gaps and exceptions for every record.</w:t>
            </w:r>
          </w:p>
        </w:tc>
        <w:tc>
          <w:tcPr>
            <w:tcW w:type="dxa" w:w="3120"/>
            <w:shd w:fill="E7F0EA"/>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Actionable handoff</w:t>
            </w:r>
          </w:p>
          <w:p>
            <w:pPr>
              <w:spacing w:after="0" w:line="252" w:lineRule="auto"/>
            </w:pPr>
            <w:r>
              <w:rPr>
                <w:rFonts w:ascii="Arial Unicode MS" w:hAnsi="Arial Unicode MS" w:eastAsia="Arial Unicode MS" w:cs="Arial Unicode MS"/>
                <w:b w:val="0"/>
                <w:i w:val="0"/>
                <w:color w:val="18332D"/>
                <w:sz w:val="17"/>
              </w:rPr>
              <w:t>Field dictionary, JSON/XLSX files, display boundaries and technical handoff notes.</w:t>
            </w:r>
          </w:p>
        </w:tc>
      </w:tr>
    </w:tbl>
    <w:p>
      <w:pPr>
        <w:pStyle w:val="Heading1"/>
      </w:pPr>
      <w:r>
        <w:t>Written acceptance criteria</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620"/>
        <w:gridCol w:w="8740"/>
      </w:tblGrid>
      <w:tr>
        <w:tc>
          <w:tcPr>
            <w:tcW w:type="dxa" w:w="620"/>
            <w:shd w:fill="9A7430"/>
            <w:tcMar>
              <w:top w:w="85" w:type="dxa"/>
              <w:start w:w="130" w:type="dxa"/>
              <w:bottom w:w="85" w:type="dxa"/>
              <w:end w:w="130" w:type="dxa"/>
            </w:tcMar>
            <w:vAlign w:val="center"/>
          </w:tcPr>
          <w:p>
            <w:pPr>
              <w:jc w:val="center"/>
            </w:pPr>
            <w:r>
              <w:rPr>
                <w:rFonts w:ascii="Arial Unicode MS" w:hAnsi="Arial Unicode MS" w:eastAsia="Arial Unicode MS" w:cs="Arial Unicode MS"/>
                <w:b/>
                <w:i w:val="0"/>
                <w:color w:val="FFFFFF"/>
                <w:sz w:val="26"/>
              </w:rPr>
              <w:t>1</w:t>
            </w:r>
          </w:p>
        </w:tc>
        <w:tc>
          <w:tcPr>
            <w:tcW w:type="dxa" w:w="8740"/>
            <w:shd w:fill="FFFFFF"/>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Fields and sources</w:t>
            </w:r>
          </w:p>
          <w:p>
            <w:pPr>
              <w:spacing w:after="0" w:line="252" w:lineRule="auto"/>
            </w:pPr>
            <w:r>
              <w:rPr>
                <w:rFonts w:ascii="Arial Unicode MS" w:hAnsi="Arial Unicode MS" w:eastAsia="Arial Unicode MS" w:cs="Arial Unicode MS"/>
                <w:b w:val="0"/>
                <w:i w:val="0"/>
                <w:color w:val="18332D"/>
                <w:sz w:val="17"/>
              </w:rPr>
              <w:t>Agreed fields are present and return to named primary sources.</w:t>
            </w:r>
          </w:p>
        </w:tc>
      </w:tr>
      <w:tr>
        <w:tc>
          <w:tcPr>
            <w:tcW w:type="dxa" w:w="620"/>
            <w:shd w:fill="9A7430"/>
            <w:tcMar>
              <w:top w:w="85" w:type="dxa"/>
              <w:start w:w="130" w:type="dxa"/>
              <w:bottom w:w="85" w:type="dxa"/>
              <w:end w:w="130" w:type="dxa"/>
            </w:tcMar>
            <w:vAlign w:val="center"/>
          </w:tcPr>
          <w:p>
            <w:pPr>
              <w:jc w:val="center"/>
            </w:pPr>
            <w:r>
              <w:rPr>
                <w:rFonts w:ascii="Arial Unicode MS" w:hAnsi="Arial Unicode MS" w:eastAsia="Arial Unicode MS" w:cs="Arial Unicode MS"/>
                <w:b/>
                <w:i w:val="0"/>
                <w:color w:val="FFFFFF"/>
                <w:sz w:val="26"/>
              </w:rPr>
              <w:t>2</w:t>
            </w:r>
          </w:p>
        </w:tc>
        <w:tc>
          <w:tcPr>
            <w:tcW w:type="dxa" w:w="8740"/>
            <w:shd w:fill="FFFFFF"/>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Identity and market</w:t>
            </w:r>
          </w:p>
          <w:p>
            <w:pPr>
              <w:spacing w:after="0" w:line="252" w:lineRule="auto"/>
            </w:pPr>
            <w:r>
              <w:rPr>
                <w:rFonts w:ascii="Arial Unicode MS" w:hAnsi="Arial Unicode MS" w:eastAsia="Arial Unicode MS" w:cs="Arial Unicode MS"/>
                <w:b w:val="0"/>
                <w:i w:val="0"/>
                <w:color w:val="18332D"/>
                <w:sz w:val="17"/>
              </w:rPr>
              <w:t>Brand, generic, form and strength are not merged across markets.</w:t>
            </w:r>
          </w:p>
        </w:tc>
      </w:tr>
      <w:tr>
        <w:tc>
          <w:tcPr>
            <w:tcW w:type="dxa" w:w="620"/>
            <w:shd w:fill="9A7430"/>
            <w:tcMar>
              <w:top w:w="85" w:type="dxa"/>
              <w:start w:w="130" w:type="dxa"/>
              <w:bottom w:w="85" w:type="dxa"/>
              <w:end w:w="130" w:type="dxa"/>
            </w:tcMar>
            <w:vAlign w:val="center"/>
          </w:tcPr>
          <w:p>
            <w:pPr>
              <w:jc w:val="center"/>
            </w:pPr>
            <w:r>
              <w:rPr>
                <w:rFonts w:ascii="Arial Unicode MS" w:hAnsi="Arial Unicode MS" w:eastAsia="Arial Unicode MS" w:cs="Arial Unicode MS"/>
                <w:b/>
                <w:i w:val="0"/>
                <w:color w:val="FFFFFF"/>
                <w:sz w:val="26"/>
              </w:rPr>
              <w:t>3</w:t>
            </w:r>
          </w:p>
        </w:tc>
        <w:tc>
          <w:tcPr>
            <w:tcW w:type="dxa" w:w="8740"/>
            <w:shd w:fill="FFFFFF"/>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164C3E"/>
                <w:sz w:val="20"/>
              </w:rPr>
              <w:t>Exceptions and boundary</w:t>
            </w:r>
          </w:p>
          <w:p>
            <w:pPr>
              <w:spacing w:after="0" w:line="252" w:lineRule="auto"/>
            </w:pPr>
            <w:r>
              <w:rPr>
                <w:rFonts w:ascii="Arial Unicode MS" w:hAnsi="Arial Unicode MS" w:eastAsia="Arial Unicode MS" w:cs="Arial Unicode MS"/>
                <w:b w:val="0"/>
                <w:i w:val="0"/>
                <w:color w:val="18332D"/>
                <w:sz w:val="17"/>
              </w:rPr>
              <w:t>Historical files, gaps and unresolved items are explicit; no individual medication conclusion is generated.</w:t>
            </w:r>
          </w:p>
        </w:tc>
      </w:tr>
    </w:tbl>
    <w:p>
      <w:pPr>
        <w:pStyle w:val="Heading1"/>
      </w:pPr>
      <w:r>
        <w:t>Minimum scope and commercial boundary</w:t>
      </w:r>
    </w:p>
    <w:tbl>
      <w:tblPr>
        <w:tblW w:type="dxa" w:w="9360"/>
        <w:jc w:val="left"/>
        <w:tblLayout w:type="fixed"/>
        <w:tblLook w:firstColumn="1" w:firstRow="1" w:lastColumn="0" w:lastRow="0" w:noHBand="0" w:noVBand="1" w:val="04A0"/>
        <w:tblInd w:w="120" w:type="dxa"/>
        <w:tblBorders>
          <w:top w:val="single" w:sz="8" w:color="9A7430"/>
          <w:left w:val="single" w:sz="8" w:color="9A7430"/>
          <w:bottom w:val="single" w:sz="8" w:color="9A7430"/>
          <w:right w:val="single" w:sz="8" w:color="9A7430"/>
          <w:insideH w:val="single" w:sz="8" w:color="9A7430"/>
          <w:insideV w:val="single" w:sz="8" w:color="9A7430"/>
        </w:tblBorders>
      </w:tblPr>
      <w:tblGrid>
        <w:gridCol w:w="9360"/>
      </w:tblGrid>
      <w:tr>
        <w:tc>
          <w:tcPr>
            <w:tcW w:type="dxa" w:w="9360"/>
            <w:shd w:fill="F4F0E6"/>
            <w:tcMar>
              <w:top w:w="85" w:type="dxa"/>
              <w:start w:w="130" w:type="dxa"/>
              <w:bottom w:w="85" w:type="dxa"/>
              <w:end w:w="130" w:type="dxa"/>
            </w:tcMar>
            <w:vAlign w:val="center"/>
          </w:tcPr>
          <w:p>
            <w:pPr>
              <w:spacing w:after="40"/>
            </w:pPr>
            <w:r/>
            <w:r>
              <w:rPr>
                <w:rFonts w:ascii="Arial Unicode MS" w:hAnsi="Arial Unicode MS" w:eastAsia="Arial Unicode MS" w:cs="Arial Unicode MS"/>
                <w:b/>
                <w:i w:val="0"/>
                <w:color w:val="9A7430"/>
                <w:sz w:val="20"/>
              </w:rPr>
              <w:t>Minimum scope and commercial boundary</w:t>
            </w:r>
          </w:p>
          <w:p>
            <w:pPr>
              <w:spacing w:after="0" w:line="252" w:lineRule="auto"/>
            </w:pPr>
            <w:r>
              <w:rPr>
                <w:rFonts w:ascii="Arial Unicode MS" w:hAnsi="Arial Unicode MS" w:eastAsia="Arial Unicode MS" w:cs="Arial Unicode MS"/>
                <w:b w:val="0"/>
                <w:i w:val="0"/>
                <w:color w:val="18332D"/>
                <w:sz w:val="17"/>
              </w:rPr>
              <w:t>Twenty named medicines, one target market, bilingual core fields, and one JSON plus one XLSX delivery. Pricing remains subject to final financial confirmation. The service organizes and maintains public medicine information and display boundaries; it does not sell medicines, process patient data or transfer source copyright.</w:t>
            </w:r>
          </w:p>
        </w:tc>
      </w:tr>
    </w:tbl>
    <w:p>
      <w:pPr>
        <w:spacing w:before="140" w:after="20"/>
      </w:pPr>
      <w:r>
        <w:rPr>
          <w:rFonts w:ascii="Arial Unicode MS" w:hAnsi="Arial Unicode MS" w:eastAsia="Arial Unicode MS" w:cs="Arial Unicode MS"/>
          <w:b/>
          <w:i w:val="0"/>
          <w:color w:val="0C3128"/>
          <w:sz w:val="18"/>
        </w:rPr>
        <w:t xml:space="preserve">Send the organization website, medicine list, target market, format and timing for a written scope and quotation: </w:t>
      </w:r>
      <w:hyperlink r:id="rId11">
        <w:r>
          <w:rPr>
            <w:rFonts w:ascii="STSong" w:hAnsi="STSong" w:eastAsia="STSong"/>
            <w:color w:val="164C3E"/>
            <w:sz w:val="18"/>
            <w:b/>
            <w:u w:val="single"/>
          </w:rPr>
          <w:t>stevenyiqingli@foxmail.com</w:t>
        </w:r>
      </w:hyperlink>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ial Unicode MS">
    <w:embedRegular r:id="rIdOriginDrugEmbeddedFont" w:fontKey="{A8BD3E56-5634-4A56-9B25-40E4B16901EE}" w:subsetted="tru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Arial Unicode MS" w:hAnsi="Arial Unicode MS" w:eastAsia="Arial Unicode MS" w:cs="Arial Unicode MS"/>
        <w:b w:val="0"/>
        <w:i w:val="0"/>
        <w:color w:val="52655F"/>
        <w:sz w:val="16"/>
      </w:rPr>
      <w:t>Steven Li · stevenyiqingli@foxmail.com · 2026-09-05.857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Arial Unicode MS" w:hAnsi="Arial Unicode MS" w:eastAsia="Arial Unicode MS" w:cs="Arial Unicode MS"/>
        <w:b/>
        <w:i w:val="0"/>
        <w:color w:val="52655F"/>
        <w:sz w:val="16"/>
      </w:rPr>
      <w:t>ORIGINDRUG · HEALTH-TECH DATA PILOT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47" w:lineRule="auto"/>
    </w:pPr>
    <w:rPr>
      <w:rFonts w:ascii="Arial Unicode MS" w:hAnsi="Arial Unicode MS" w:eastAsia="Arial Unicode MS" w:cs="Arial Unicode MS"/>
      <w:color w:val="18332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Unicode MS" w:hAnsi="Arial Unicode MS" w:eastAsia="Arial Unicode MS" w:cs="Arial Unicode MS"/>
      <w:b/>
      <w:bCs/>
      <w:color w:val="164C3E"/>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Unicode MS" w:hAnsi="Arial Unicode MS" w:eastAsia="Arial Unicode MS" w:cs="Arial Unicode MS"/>
      <w:b/>
      <w:bCs/>
      <w:color w:val="164C3E"/>
      <w:sz w:val="25"/>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Unicode MS" w:hAnsi="Arial Unicode MS" w:eastAsia="Arial Unicode MS" w:cs="Arial Unicode MS"/>
      <w:b/>
      <w:bCs/>
      <w:color w:val="18332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tevenyiqingli@foxmail.com" TargetMode="External"/></Relationships>
</file>

<file path=word/_rels/fontTable.xml.rels><?xml version='1.0' encoding='UTF-8' standalone='yes'?>
<ns0:Relationships xmlns:ns0="http://schemas.openxmlformats.org/package/2006/relationships"><ns0:Relationship Id="rIdOriginDrugEmbeddedFont" Type="http://schemas.openxmlformats.org/officeDocument/2006/relationships/font" Target="fonts/ArialUnicodeMS-OriginDrug.odttf"/></ns0: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用 20 个药品档案验证数据能否进入你的产品</dc:title>
  <dc:subject>OriginDrug bilingual institutional paid-pilot leave-behind</dc:subject>
  <dc:creator>OriginDrug · Steven Li</dc:creator>
  <cp:keywords>OriginDrug, paid pilot, procurement, medicine evidence, accessibility</cp:keywords>
  <dc:description>generated by python-docx</dc:description>
  <cp:lastModifiedBy/>
  <cp:revision>1</cp:revision>
  <dcterms:created xsi:type="dcterms:W3CDTF">2013-12-23T23:15:00Z</dcterms:created>
  <dcterms:modified xsi:type="dcterms:W3CDTF">2013-12-23T23:15:00Z</dcterms:modified>
  <cp:category/>
</cp:coreProperties>
</file>