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40"/>
      </w:pPr>
      <w:r>
        <w:rPr>
          <w:rFonts w:ascii="Arial Unicode MS" w:hAnsi="Arial Unicode MS" w:eastAsia="Arial Unicode MS"/>
          <w:b/>
          <w:i w:val="0"/>
          <w:color w:val="9A7430"/>
          <w:sz w:val="24"/>
        </w:rPr>
        <w:t>OriginDrug</w:t>
      </w:r>
    </w:p>
    <w:p>
      <w:pPr>
        <w:spacing w:after="80"/>
      </w:pPr>
      <w:r>
        <w:rPr>
          <w:rFonts w:ascii="Arial Unicode MS" w:hAnsi="Arial Unicode MS" w:eastAsia="Arial Unicode MS"/>
          <w:b/>
          <w:i w:val="0"/>
          <w:color w:val="164C3E"/>
          <w:sz w:val="50"/>
        </w:rPr>
        <w:t>机构付费试点提案框架</w:t>
      </w:r>
    </w:p>
    <w:p>
      <w:pPr>
        <w:spacing w:after="320"/>
      </w:pPr>
      <w:r>
        <w:rPr>
          <w:rFonts w:ascii="Arial Unicode MS" w:hAnsi="Arial Unicode MS" w:eastAsia="Arial Unicode MS"/>
          <w:b/>
          <w:i w:val="0"/>
          <w:color w:val="18332D"/>
          <w:sz w:val="30"/>
        </w:rPr>
        <w:t>Institutional Paid Pilot Proposal Framework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提案编号 / Proposal reference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OD-[YYYY]-[CLIENT]-[SEQ]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提交对象 / Prepared for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[机构法定名称 / Institution legal name]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提交人 / Prepared by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Steven Li · stevenyiqingli@foxmail.com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文档版本 / Revision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2026-09-01.738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状态 / Status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采购评审框架，非报价、合同或开工通知 / Procurement-review framework; not a quote, contract or notice to proceed</w:t>
            </w:r>
          </w:p>
        </w:tc>
      </w:tr>
    </w:tbl>
    <w:p>
      <w:pPr>
        <w:spacing w:before="280" w:after="140"/>
      </w:pPr>
      <w:r>
        <w:rPr>
          <w:rFonts w:ascii="Arial Unicode MS" w:hAnsi="Arial Unicode MS" w:eastAsia="Arial Unicode MS"/>
          <w:b/>
          <w:i w:val="0"/>
          <w:color w:val="164C3E"/>
          <w:sz w:val="24"/>
        </w:rPr>
        <w:t>使用说明 / How to use</w:t>
      </w:r>
    </w:p>
    <w:p>
      <w:r>
        <w:t>本框架把已确认的机构需求转换为可供采购、法务、财务、医学、内容与技术团队共同评审的书面提案结构。请先完成 r737 采购启动包，再以可核验事实填写本文件；不得填入患者、处方、病历、药盒照片、身份证件或支付信息。</w:t>
        <w:br/>
        <w:t>This framework converts confirmed institutional requirements into a proposal structure for joint procurement, legal, finance, medical, content and technical review. Complete the r737 procurement start pack first and use verifiable facts only; do not enter patient, prescription, record, pack-photo, identity or payment data.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9A7430"/>
          <w:left w:val="single" w:sz="10" w:color="9A7430"/>
          <w:bottom w:val="single" w:sz="10" w:color="9A7430"/>
          <w:right w:val="single" w:sz="10" w:color="9A7430"/>
          <w:insideH w:val="single" w:sz="10" w:color="9A7430"/>
          <w:insideV w:val="single" w:sz="10" w:color="9A743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4F0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非约束性边界 / Non-binding boundary</w:t>
              <w:br/>
              <w:t>空白字段、方括号与复选框必须在正式发送前完成或删除。本框架本身不构成报价、合同、许可、SLA、购买承诺或开工通知。金额待财务最终确认；在双方书面接受费用、税费、期限、许可、责任和支持条款前，不产生自动续费或持续收费。</w:t>
              <w:br/>
              <w:t>Complete or remove every blank, bracket and checkbox before formal issue. This framework is not a quote, contract, licence, SLA, purchase commitment or notice to proceed. Amounts remain subject to final financial confirmation; no automatic renewal or recurring charge exists before both parties accept written fees, taxes, term, licence, liability and support terms.</w:t>
            </w:r>
          </w:p>
        </w:tc>
      </w:tr>
    </w:tbl>
    <w:p>
      <w:r>
        <w:br w:type="page"/>
      </w:r>
    </w:p>
    <w:p>
      <w:pPr>
        <w:pStyle w:val="Heading1"/>
      </w:pPr>
      <w:r>
        <w:t>1. 执行摘要与项目契合度</w:t>
        <w:br/>
        <w:t>1. Executive summary and project fit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采购方业务目标 / Buyer objective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[用一句可验证的话说明本次试点要解决的问题 / One verifiable sentence]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选定试点 / Selected pilot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 药品证据数据  □ 来源变化监测  □ 嵌入与无障碍</w:t>
              <w:br/>
              <w:t>□ Medicine evidence data  □ Source-change monitoring  □ Embedding and accessibility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目标读者与渠道 / Readers and channels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[公众网页、药师工作台、PDF、API 或嵌入组件等 / Public web, pharmacist workspace, PDF, API or embed]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试点成功定义 / Pilot success statement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[以交付物、证据和验收状态描述，不写未经确认的商业结果 / Define by deliverables, evidence and acceptance status]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基线范围来源 / Scope baseline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r737 采购启动包版本与完成日期 / r737 procurement start-pack revision and completion date: 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9A7430"/>
          <w:left w:val="single" w:sz="10" w:color="9A7430"/>
          <w:bottom w:val="single" w:sz="10" w:color="9A7430"/>
          <w:right w:val="single" w:sz="10" w:color="9A7430"/>
          <w:insideH w:val="single" w:sz="10" w:color="9A7430"/>
          <w:insideV w:val="single" w:sz="10" w:color="9A743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OriginDrug 的角色 / OriginDrug role</w:t>
              <w:br/>
              <w:t>提供可追溯的公开药品信息、来源维护、结构化数据与可访问呈现；不销售药品，不开具处方，不代替医生或药师作个体用药决定。</w:t>
              <w:br/>
              <w:t>Provides traceable public medicine information, source maintenance, structured data and accessible presentation; does not sell medicines, prescribe or replace individual clinician/pharmacist decisions.</w:t>
            </w:r>
          </w:p>
        </w:tc>
      </w:tr>
    </w:tbl>
    <w:p>
      <w:pPr>
        <w:pStyle w:val="Heading1"/>
      </w:pPr>
      <w:r>
        <w:t>2. 已纳入与明确排除的范围</w:t>
        <w:br/>
        <w:t>2. Included scope and explicit exclusions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药品与产品身份 / Medicines and product identity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[药品、品牌、通用名、市场、剂型、规格、包装；逐行绑定 / Bind medicine, brand, generic, market, form, strength and pack by row]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市场与语言 / Markets and languages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[列出本次交付覆盖的国家/地区与语言 / List countries, regions and languages]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必需字段 / Required fields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[名称、产品规格、官方说明书、机制、药物警戒、来源、复核日期、版本等 / Names, presentations, official labels, mechanism, pharmacovigilance, sources, review dates, revision]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允许来源 / Permitted sources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[监管机构、官方标签、产品数据库与已书面允许的期刊范围 / Regulators, labels, product databases and permitted journals]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明确排除 / Explicit exclusions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[不覆盖的市场、字段、历史版本、图像、临床判断或无法核验项 / Excluded markets, fields, versions, images, clinical judgments or unresolved items]</w:t>
            </w:r>
          </w:p>
        </w:tc>
      </w:tr>
    </w:tbl>
    <w:p>
      <w:pPr>
        <w:pStyle w:val="Heading1"/>
      </w:pPr>
      <w:r>
        <w:t>3. 交付物与验收矩阵</w:t>
        <w:br/>
        <w:t>3. Deliverables and acceptance matrix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1770"/>
        <w:gridCol w:w="1450"/>
        <w:gridCol w:w="4260"/>
        <w:gridCol w:w="1080"/>
        <w:gridCol w:w="800"/>
      </w:tblGrid>
      <w:tr>
        <w:trPr>
          <w:cantSplit/>
        </w:trPr>
        <w:tc>
          <w:tcPr>
            <w:tcW w:type="dxa" w:w="1770"/>
            <w:shd w:fill="164C3E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i w:val="0"/>
                <w:color w:val="FFFFFF"/>
                <w:sz w:val="16"/>
              </w:rPr>
              <w:t>交付物</w:t>
              <w:br/>
              <w:t>Deliverable</w:t>
            </w:r>
          </w:p>
        </w:tc>
        <w:tc>
          <w:tcPr>
            <w:tcW w:type="dxa" w:w="1450"/>
            <w:shd w:fill="164C3E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i w:val="0"/>
                <w:color w:val="FFFFFF"/>
                <w:sz w:val="16"/>
              </w:rPr>
              <w:t>格式/版本</w:t>
              <w:br/>
              <w:t>Format/revision</w:t>
            </w:r>
          </w:p>
        </w:tc>
        <w:tc>
          <w:tcPr>
            <w:tcW w:type="dxa" w:w="4260"/>
            <w:shd w:fill="164C3E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i w:val="0"/>
                <w:color w:val="FFFFFF"/>
                <w:sz w:val="16"/>
              </w:rPr>
              <w:t>验收证据</w:t>
              <w:br/>
              <w:t>Acceptance evidence</w:t>
            </w:r>
          </w:p>
        </w:tc>
        <w:tc>
          <w:tcPr>
            <w:tcW w:type="dxa" w:w="1080"/>
            <w:shd w:fill="164C3E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i w:val="0"/>
                <w:color w:val="FFFFFF"/>
                <w:sz w:val="16"/>
              </w:rPr>
              <w:t>负责人</w:t>
              <w:br/>
              <w:t>Owner</w:t>
            </w:r>
          </w:p>
        </w:tc>
        <w:tc>
          <w:tcPr>
            <w:tcW w:type="dxa" w:w="800"/>
            <w:shd w:fill="164C3E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i w:val="0"/>
                <w:color w:val="FFFFFF"/>
                <w:sz w:val="16"/>
              </w:rPr>
              <w:t>状态</w:t>
              <w:br/>
              <w:t>Status</w:t>
            </w:r>
          </w:p>
        </w:tc>
      </w:tr>
      <w:tr>
        <w:trPr>
          <w:cantSplit/>
        </w:trPr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18332D"/>
                <w:sz w:val="15"/>
              </w:rPr>
              <w:t>字段字典 / Field dictionary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DOCX/PDF/XLSX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定义、允许值、缺失处理 / definitions, allowed values, missing handling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[ ]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□</w:t>
            </w:r>
          </w:p>
        </w:tc>
      </w:tr>
      <w:tr>
        <w:trPr>
          <w:cantSplit/>
        </w:trPr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18332D"/>
                <w:sz w:val="15"/>
              </w:rPr>
              <w:t>结构化数据 / Structured data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JSON/XLSX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约定字段完整且可追溯 / required fields complete and traceable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[ ]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□</w:t>
            </w:r>
          </w:p>
        </w:tc>
      </w:tr>
      <w:tr>
        <w:trPr>
          <w:cantSplit/>
        </w:trPr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18332D"/>
                <w:sz w:val="15"/>
              </w:rPr>
              <w:t>来源登记 / Source register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XLSX/PDF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URL、文件日期、复核日期与访问状态 / URL, document/review dates, access status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[ ]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□</w:t>
            </w:r>
          </w:p>
        </w:tc>
      </w:tr>
      <w:tr>
        <w:trPr>
          <w:cantSplit/>
        </w:trPr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18332D"/>
                <w:sz w:val="15"/>
              </w:rPr>
              <w:t>异常清单 / Exception log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XLSX/DOCX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未确认项单列，不以推断补齐 / unresolved items listed, never inferred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[ ]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□</w:t>
            </w:r>
          </w:p>
        </w:tc>
      </w:tr>
      <w:tr>
        <w:trPr>
          <w:cantSplit/>
        </w:trPr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18332D"/>
                <w:sz w:val="15"/>
              </w:rPr>
              <w:t>阅读/嵌入样例 / Reading/embed sample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Web/DOCX/PDF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移动、键盘、字号、打印和来源显示 / mobile, keyboard, text size, print, sources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[ ]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□</w:t>
            </w:r>
          </w:p>
        </w:tc>
      </w:tr>
      <w:tr>
        <w:trPr>
          <w:cantSplit/>
        </w:trPr>
        <w:tc>
          <w:tcPr>
            <w:tcW w:type="dxa" w:w="17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18332D"/>
                <w:sz w:val="15"/>
              </w:rPr>
              <w:t>变更记录 / Change log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JSON/XLSX/DOCX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版本、受影响字段、日期、待确认项 / revision, fields, dates, open items</w:t>
            </w:r>
          </w:p>
        </w:tc>
        <w:tc>
          <w:tcPr>
            <w:tcW w:type="dxa" w:w="1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[ ]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5"/>
              </w:rPr>
              <w:t>□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统一验收原则 / Common acceptance rule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以约定交付物、来源可追溯性、异常公开和版本一致性为准；不得以营销效果、临床结局或未约定结果代替验收。</w:t>
              <w:br/>
              <w:t>Acceptance uses agreed deliverables, source traceability, explicit exceptions and revision consistency; marketing outcomes, clinical outcomes or unagreed results are not substitutes.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反馈与关闭 / Feedback and closure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验收人、反馈窗口、修正轮次与关闭证据：________________________________ / Reviewer, feedback window, correction round and closure evidence</w:t>
            </w:r>
          </w:p>
        </w:tc>
      </w:tr>
    </w:tbl>
    <w:p>
      <w:pPr>
        <w:pStyle w:val="Heading1"/>
      </w:pPr>
      <w:r>
        <w:t>4. 里程碑、治理与变更</w:t>
        <w:br/>
        <w:t>4. Milestones, governance and change control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拟定里程碑 / Proposed milestones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样例确认 [日期] → 范围冻结 [日期] → 首批交付 [日期] → 异常复核 [日期] → 验收 [日期]</w:t>
              <w:br/>
              <w:t>Sample approval [date] → scope freeze [date] → first delivery [date] → exception review [date] → acceptance [date]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采购方负责人 / Buyer-side owner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姓名、职务、工作邮箱 / Name, role, work email: 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OriginDrug 负责人 / OriginDrug owner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Steven Li · stevenyiqingli@foxmail.com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变更请求 / Change request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新增药品、市场、语言、字段、来源、格式或审核要求必须书面记录对范围、日期和费用的影响。</w:t>
              <w:br/>
              <w:t>Any new medicine, market, language, field, source, format or review requirement must record written scope, date and fee impacts.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状态与决策记录 / Status and decision record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[会议频率、记录位置、审批人和升级路径 / Cadence, record location, approver and escalation path]</w:t>
            </w:r>
          </w:p>
        </w:tc>
      </w:tr>
    </w:tbl>
    <w:p>
      <w:pPr>
        <w:pStyle w:val="Heading1"/>
      </w:pPr>
      <w:r>
        <w:t>5. 许可、使用与支持边界</w:t>
        <w:br/>
        <w:t>5. Licence, use and support boundaries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允许使用 / Permitted use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 内部评估  □ 内部业务使用  □ 公开展示  □ API/嵌入  □ 其他书面约定</w:t>
              <w:br/>
              <w:t>□ Internal evaluation  □ Internal business use  □ Public display  □ API/embed  □ Other written use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地域与期限 / Territory and term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[填写 / Complete]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署名与来源 / Attribution and source display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[填写 / Complete]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禁止使用 / Prohibited use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不得把材料包装为个体诊断、处方、剂量、停换药建议，亦不得移除来源、版本或安全边界。</w:t>
              <w:br/>
              <w:t>Do not present materials as individual diagnosis, prescribing, dosing or stopping/switching advice, or remove sources, revisions or safety boundaries.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第三方权利 / Third-party rights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公开可访问不等于可自由转载；来源许可、著作权、商标与目标市场审核逐项确认。</w:t>
              <w:br/>
              <w:t>Public access does not grant republication; confirm source permission, copyright, trademark and target-market review item by item.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支持范围 / Support scope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[渠道、时区、工作日、问题严重级别与升级方式 / Channels, time zone, business days, severity and escalation]；未书面确认前无 SLA / No SLA before written agreement.</w:t>
            </w:r>
          </w:p>
        </w:tc>
      </w:tr>
    </w:tbl>
    <w:p>
      <w:pPr>
        <w:pStyle w:val="Heading1"/>
      </w:pPr>
      <w:r>
        <w:t>6. 商务计划表</w:t>
        <w:br/>
        <w:t>6. Commercial schedule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币种 / Currency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专业服务费 / Professional fees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 ] — 金额待财务最终确认 / Amounts remain subject to final financial confirmation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税费 / Taxes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[含税/未税、税率与开票主体待双方书面确认 / Inclusive/exclusive basis, rate and invoicing entity to be confirmed]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付款节点 / Payment milestones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报价有效期 / Quote validity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可选工作 / Optional work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[单列，不自动纳入范围或收费 / List separately; never auto-included or charged]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续期与持续收费 / Renewal and recurring fees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未书面确认前无自动续费或持续收费；试点可在验收后结束。</w:t>
              <w:br/>
              <w:t>No automatic renewal or recurring charge before written agreement; the pilot may end after acceptance.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9A7430"/>
          <w:left w:val="single" w:sz="10" w:color="9A7430"/>
          <w:bottom w:val="single" w:sz="10" w:color="9A7430"/>
          <w:right w:val="single" w:sz="10" w:color="9A7430"/>
          <w:insideH w:val="single" w:sz="10" w:color="9A7430"/>
          <w:insideV w:val="single" w:sz="10" w:color="9A743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4F0E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填写纪律 / Completion discipline</w:t>
              <w:br/>
              <w:t>不得用估算、行业均价、示例客户或未经财务确认的数字替代空白项。正式报价须由正确法律主体发出，并独立写明费用、税费、付款、有效期与适用条款。</w:t>
              <w:br/>
              <w:t>Do not replace blanks with estimates, market averages, sample customers or financially unconfirmed numbers. A formal quote must be issued by the correct legal entity and separately state fees, taxes, payment, validity and applicable terms.</w:t>
            </w:r>
          </w:p>
        </w:tc>
      </w:tr>
    </w:tbl>
    <w:p>
      <w:pPr>
        <w:pStyle w:val="Heading1"/>
      </w:pPr>
      <w:r>
        <w:t>7. 评审、批准与生效条件</w:t>
        <w:br/>
        <w:t>7. Review, approval and conditions to proceed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采购/业务 / Procurement/business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姓名、结论、日期 / Name, outcome, date: 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法务/合规 / Legal/compliance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姓名、结论、日期 / Name, outcome, date: 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财务/税务 / Finance/tax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姓名、结论、日期 / Name, outcome, date: 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医学/内容 / Medical/content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姓名、结论、日期 / Name, outcome, date: 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技术/数据 / Technical/data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姓名、结论、日期 / Name, outcome, date: 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未决事项 / Open items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下一步与负责人 / Next step and owner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[ ]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10" w:color="9A7430"/>
          <w:left w:val="single" w:sz="10" w:color="9A7430"/>
          <w:bottom w:val="single" w:sz="10" w:color="9A7430"/>
          <w:right w:val="single" w:sz="10" w:color="9A7430"/>
          <w:insideH w:val="single" w:sz="10" w:color="9A7430"/>
          <w:insideV w:val="single" w:sz="10" w:color="9A743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生效条件 / Conditions to proceed</w:t>
              <w:br/>
              <w:t>内部签字仅用于评审留痕，不代表任一方接受报价、签订合同、授予许可或发出开工通知。只有双方授权代表完成并接受适用书面文件后，项目方可按约定启动。</w:t>
              <w:br/>
              <w:t>Internal sign-off records review only. It does not accept a quote, form a contract, grant a licence or issue a notice to proceed. Work may begin only after authorized representatives complete and accept the applicable written documents.</w:t>
            </w:r>
          </w:p>
        </w:tc>
      </w:tr>
    </w:tbl>
    <w:p>
      <w:pPr>
        <w:pStyle w:val="Heading1"/>
      </w:pPr>
      <w:r>
        <w:t>8. 快速响应交接清单</w:t>
        <w:br/>
        <w:t>8. Fast-response handoff checklist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已完成 r737 范围包 / Completed r737 scope pack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机构法定名称、官网与工作邮箱 / Legal name, website and work email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采购、法务、财务、医学与技术联系人 / Review contacts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药品、市场、语言、字段与来源已锁定 / Medicines, markets, languages, fields and sources locked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交付格式、验收证据与负责人已锁定 / Formats, acceptance evidence and owners locked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许可、支持、日期、费用和税费待书面确认 / Licence, support, dates, fees and taxes flagged for writing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2700"/>
            <w:shd w:fill="E7F0EA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/>
                <w:i w:val="0"/>
                <w:color w:val="18332D"/>
                <w:sz w:val="18"/>
              </w:rPr>
              <w:t>未包含患者、处方、病历、药盒照片、证件或支付资料 / No patient, prescription, record, pack-photo, identity or payment data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 Unicode MS" w:hAnsi="Arial Unicode MS" w:eastAsia="Arial Unicode MS"/>
                <w:b w:val="0"/>
                <w:i w:val="0"/>
                <w:color w:val="52655F"/>
                <w:sz w:val="18"/>
              </w:rPr>
              <w:t>□</w:t>
            </w:r>
          </w:p>
        </w:tc>
      </w:tr>
    </w:tbl>
    <w:p>
      <w:pPr>
        <w:spacing w:before="180" w:after="0"/>
      </w:pPr>
      <w:r>
        <w:rPr>
          <w:rFonts w:ascii="Arial Unicode MS" w:hAnsi="Arial Unicode MS" w:eastAsia="Arial Unicode MS"/>
          <w:b/>
          <w:i w:val="0"/>
          <w:color w:val="164C3E"/>
          <w:sz w:val="18"/>
        </w:rPr>
        <w:t>公开联系 / Public contact: Steven Li · stevenyiqingli@foxmail.com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  <w:b w:val="0"/>
        <w:i w:val="0"/>
        <w:color w:val="52655F"/>
        <w:sz w:val="17"/>
      </w:rPr>
      <w:t xml:space="preserve">OriginDrug · </w:t>
    </w:r>
    <w:r>
      <w:rPr>
        <w:rFonts w:ascii="Arial Unicode MS" w:hAnsi="Arial Unicode MS" w:eastAsia="Arial Unicode MS"/>
        <w:b w:val="0"/>
        <w:i w:val="0"/>
        <w:color w:val="52655F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 Unicode MS" w:hAnsi="Arial Unicode MS" w:eastAsia="Arial Unicode MS"/>
        <w:b/>
        <w:i w:val="0"/>
        <w:color w:val="52655F"/>
        <w:sz w:val="17"/>
      </w:rPr>
      <w:t>ORIGINDRUG · INSTITUTIONAL PAID PILOT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 Unicode MS" w:hAnsi="Arial Unicode MS" w:eastAsia="Arial Unicode MS"/>
      <w:color w:val="18332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64C3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64C3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8332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OriginDrug 机构付费试点提案框架 / Institutional Paid Pilot Proposal Framework</dc:title>
  <dc:subject>Non-binding bilingual proposal framework for institutional OriginDrug paid pilots</dc:subject>
  <dc:creator>OriginDrug</dc:creator>
  <cp:keywords>OriginDrug, paid pilot, proposal, procurement, evidence data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