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</w:pPr>
      <w:r>
        <w:rPr>
          <w:rFonts w:ascii="Arial Unicode MS" w:hAnsi="Arial Unicode MS" w:eastAsia="Arial Unicode MS" w:cs="Arial Unicode MS"/>
          <w:b/>
          <w:i w:val="0"/>
          <w:color w:val="9A7430"/>
          <w:sz w:val="17"/>
        </w:rPr>
        <w:t>药房与患者教育团队 · 付费试点</w:t>
      </w:r>
    </w:p>
    <w:p>
      <w:pPr>
        <w:spacing w:after="40"/>
      </w:pPr>
      <w:r>
        <w:rPr>
          <w:rFonts w:ascii="Arial Unicode MS" w:hAnsi="Arial Unicode MS" w:eastAsia="Arial Unicode MS" w:cs="Arial Unicode MS"/>
          <w:b/>
          <w:i w:val="0"/>
          <w:color w:val="0C3128"/>
          <w:sz w:val="44"/>
        </w:rPr>
        <w:t>用一个真实页面验证老人能否看清、看懂并知道下一步</w:t>
      </w:r>
    </w:p>
    <w:p>
      <w:pPr>
        <w:spacing w:after="120"/>
      </w:pPr>
      <w:r>
        <w:rPr>
          <w:rFonts w:ascii="Arial Unicode MS" w:hAnsi="Arial Unicode MS" w:eastAsia="Arial Unicode MS" w:cs="Arial Unicode MS"/>
          <w:b/>
          <w:i w:val="0"/>
          <w:color w:val="52655F"/>
          <w:sz w:val="20"/>
        </w:rPr>
        <w:t>把准确药品身份、放大阅读和咨询路径做成可验收交付。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0C3128"/>
          <w:left w:val="single" w:sz="4" w:color="0C3128"/>
          <w:bottom w:val="single" w:sz="4" w:color="0C3128"/>
          <w:right w:val="single" w:sz="4" w:color="0C3128"/>
          <w:insideH w:val="single" w:sz="4" w:color="0C3128"/>
          <w:insideV w:val="single" w:sz="4" w:color="0C3128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0C3128"/>
            <w:tcMar>
              <w:top w:w="85" w:type="dxa"/>
              <w:start w:w="130" w:type="dxa"/>
              <w:bottom w:w="85" w:type="dxa"/>
              <w:end w:w="130" w:type="dxa"/>
            </w:tcMar>
            <w:vAlign w:val="center"/>
          </w:tcPr>
          <w:p>
            <w:pPr>
              <w:spacing w:after="20"/>
              <w:jc w:val="center"/>
            </w:pPr>
            <w:r/>
            <w:r>
              <w:rPr>
                <w:rFonts w:ascii="Arial Unicode MS" w:hAnsi="Arial Unicode MS" w:eastAsia="Arial Unicode MS" w:cs="Arial Unicode MS"/>
                <w:b/>
                <w:i w:val="0"/>
                <w:color w:val="FFFFFF"/>
                <w:sz w:val="32"/>
              </w:rPr>
              <w:t>1</w:t>
            </w:r>
          </w:p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 w:val="0"/>
                <w:i w:val="0"/>
                <w:color w:val="FFFFFF"/>
                <w:sz w:val="15"/>
              </w:rPr>
              <w:t>真实药品页面</w:t>
            </w:r>
          </w:p>
        </w:tc>
        <w:tc>
          <w:tcPr>
            <w:tcW w:type="dxa" w:w="2340"/>
            <w:shd w:fill="0C3128"/>
            <w:tcMar>
              <w:top w:w="85" w:type="dxa"/>
              <w:start w:w="130" w:type="dxa"/>
              <w:bottom w:w="85" w:type="dxa"/>
              <w:end w:w="130" w:type="dxa"/>
            </w:tcMar>
            <w:vAlign w:val="center"/>
          </w:tcPr>
          <w:p>
            <w:pPr>
              <w:spacing w:after="20"/>
              <w:jc w:val="center"/>
            </w:pPr>
            <w:r/>
            <w:r>
              <w:rPr>
                <w:rFonts w:ascii="Arial Unicode MS" w:hAnsi="Arial Unicode MS" w:eastAsia="Arial Unicode MS" w:cs="Arial Unicode MS"/>
                <w:b/>
                <w:i w:val="0"/>
                <w:color w:val="FFFFFF"/>
                <w:sz w:val="32"/>
              </w:rPr>
              <w:t>中／英</w:t>
            </w:r>
          </w:p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 w:val="0"/>
                <w:i w:val="0"/>
                <w:color w:val="FFFFFF"/>
                <w:sz w:val="15"/>
              </w:rPr>
              <w:t>双语阅读</w:t>
            </w:r>
          </w:p>
        </w:tc>
        <w:tc>
          <w:tcPr>
            <w:tcW w:type="dxa" w:w="2340"/>
            <w:shd w:fill="0C3128"/>
            <w:tcMar>
              <w:top w:w="85" w:type="dxa"/>
              <w:start w:w="130" w:type="dxa"/>
              <w:bottom w:w="85" w:type="dxa"/>
              <w:end w:w="130" w:type="dxa"/>
            </w:tcMar>
            <w:vAlign w:val="center"/>
          </w:tcPr>
          <w:p>
            <w:pPr>
              <w:spacing w:after="20"/>
              <w:jc w:val="center"/>
            </w:pPr>
            <w:r/>
            <w:r>
              <w:rPr>
                <w:rFonts w:ascii="Arial Unicode MS" w:hAnsi="Arial Unicode MS" w:eastAsia="Arial Unicode MS" w:cs="Arial Unicode MS"/>
                <w:b/>
                <w:i w:val="0"/>
                <w:color w:val="FFFFFF"/>
                <w:sz w:val="32"/>
              </w:rPr>
              <w:t>3</w:t>
            </w:r>
          </w:p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 w:val="0"/>
                <w:i w:val="0"/>
                <w:color w:val="FFFFFF"/>
                <w:sz w:val="15"/>
              </w:rPr>
              <w:t>字号档位</w:t>
            </w:r>
          </w:p>
        </w:tc>
        <w:tc>
          <w:tcPr>
            <w:tcW w:type="dxa" w:w="2340"/>
            <w:shd w:fill="0C3128"/>
            <w:tcMar>
              <w:top w:w="85" w:type="dxa"/>
              <w:start w:w="130" w:type="dxa"/>
              <w:bottom w:w="85" w:type="dxa"/>
              <w:end w:w="130" w:type="dxa"/>
            </w:tcMar>
            <w:vAlign w:val="center"/>
          </w:tcPr>
          <w:p>
            <w:pPr>
              <w:spacing w:after="20"/>
              <w:jc w:val="center"/>
            </w:pPr>
            <w:r/>
            <w:r>
              <w:rPr>
                <w:rFonts w:ascii="Arial Unicode MS" w:hAnsi="Arial Unicode MS" w:eastAsia="Arial Unicode MS" w:cs="Arial Unicode MS"/>
                <w:b/>
                <w:i w:val="0"/>
                <w:color w:val="FFFFFF"/>
                <w:sz w:val="32"/>
              </w:rPr>
              <w:t>移动＋键盘</w:t>
            </w:r>
          </w:p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 w:val="0"/>
                <w:i w:val="0"/>
                <w:color w:val="FFFFFF"/>
                <w:sz w:val="15"/>
              </w:rPr>
              <w:t>无障碍验收</w:t>
            </w:r>
          </w:p>
        </w:tc>
      </w:tr>
    </w:tbl>
    <w:p>
      <w:pPr>
        <w:pStyle w:val="Heading1"/>
      </w:pPr>
      <w:r>
        <w:t>采购后会收到什么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B8C8C0"/>
          <w:left w:val="single" w:sz="6" w:color="B8C8C0"/>
          <w:bottom w:val="single" w:sz="6" w:color="B8C8C0"/>
          <w:right w:val="single" w:sz="6" w:color="B8C8C0"/>
          <w:insideH w:val="single" w:sz="6" w:color="B8C8C0"/>
          <w:insideV w:val="single" w:sz="6" w:color="B8C8C0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shd w:fill="E7F0EA"/>
            <w:tcMar>
              <w:top w:w="85" w:type="dxa"/>
              <w:start w:w="130" w:type="dxa"/>
              <w:bottom w:w="85" w:type="dxa"/>
              <w:end w:w="130" w:type="dxa"/>
            </w:tcMar>
            <w:vAlign w:val="center"/>
          </w:tcPr>
          <w:p>
            <w:pPr>
              <w:spacing w:after="40"/>
            </w:pPr>
            <w:r/>
            <w:r>
              <w:rPr>
                <w:rFonts w:ascii="Arial Unicode MS" w:hAnsi="Arial Unicode MS" w:eastAsia="Arial Unicode MS" w:cs="Arial Unicode MS"/>
                <w:b/>
                <w:i w:val="0"/>
                <w:color w:val="164C3E"/>
                <w:sz w:val="20"/>
              </w:rPr>
              <w:t>普通读者摘要</w:t>
            </w:r>
          </w:p>
          <w:p>
            <w:pPr>
              <w:spacing w:after="0" w:line="252" w:lineRule="auto"/>
            </w:pPr>
            <w:r>
              <w:rPr>
                <w:rFonts w:ascii="Arial Unicode MS" w:hAnsi="Arial Unicode MS" w:eastAsia="Arial Unicode MS" w:cs="Arial Unicode MS"/>
                <w:b w:val="0"/>
                <w:i w:val="0"/>
                <w:color w:val="18332D"/>
                <w:sz w:val="17"/>
              </w:rPr>
              <w:t>用三句话说明这是什么药、身份边界和下一步去哪里核实。</w:t>
            </w:r>
          </w:p>
        </w:tc>
        <w:tc>
          <w:tcPr>
            <w:tcW w:type="dxa" w:w="3120"/>
            <w:shd w:fill="E7F0EA"/>
            <w:tcMar>
              <w:top w:w="85" w:type="dxa"/>
              <w:start w:w="130" w:type="dxa"/>
              <w:bottom w:w="85" w:type="dxa"/>
              <w:end w:w="130" w:type="dxa"/>
            </w:tcMar>
            <w:vAlign w:val="center"/>
          </w:tcPr>
          <w:p>
            <w:pPr>
              <w:spacing w:after="40"/>
            </w:pPr>
            <w:r/>
            <w:r>
              <w:rPr>
                <w:rFonts w:ascii="Arial Unicode MS" w:hAnsi="Arial Unicode MS" w:eastAsia="Arial Unicode MS" w:cs="Arial Unicode MS"/>
                <w:b/>
                <w:i w:val="0"/>
                <w:color w:val="164C3E"/>
                <w:sz w:val="20"/>
              </w:rPr>
              <w:t>老人阅读路径</w:t>
            </w:r>
          </w:p>
          <w:p>
            <w:pPr>
              <w:spacing w:after="0" w:line="252" w:lineRule="auto"/>
            </w:pPr>
            <w:r>
              <w:rPr>
                <w:rFonts w:ascii="Arial Unicode MS" w:hAnsi="Arial Unicode MS" w:eastAsia="Arial Unicode MS" w:cs="Arial Unicode MS"/>
                <w:b w:val="0"/>
                <w:i w:val="0"/>
                <w:color w:val="18332D"/>
                <w:sz w:val="17"/>
              </w:rPr>
              <w:t>名称、剂型、规格、市场、重要数字和放大说明书优先呈现。</w:t>
            </w:r>
          </w:p>
        </w:tc>
        <w:tc>
          <w:tcPr>
            <w:tcW w:type="dxa" w:w="3120"/>
            <w:shd w:fill="E7F0EA"/>
            <w:tcMar>
              <w:top w:w="85" w:type="dxa"/>
              <w:start w:w="130" w:type="dxa"/>
              <w:bottom w:w="85" w:type="dxa"/>
              <w:end w:w="130" w:type="dxa"/>
            </w:tcMar>
            <w:vAlign w:val="center"/>
          </w:tcPr>
          <w:p>
            <w:pPr>
              <w:spacing w:after="40"/>
            </w:pPr>
            <w:r/>
            <w:r>
              <w:rPr>
                <w:rFonts w:ascii="Arial Unicode MS" w:hAnsi="Arial Unicode MS" w:eastAsia="Arial Unicode MS" w:cs="Arial Unicode MS"/>
                <w:b/>
                <w:i w:val="0"/>
                <w:color w:val="164C3E"/>
                <w:sz w:val="20"/>
              </w:rPr>
              <w:t>问题与修正记录</w:t>
            </w:r>
          </w:p>
          <w:p>
            <w:pPr>
              <w:spacing w:after="0" w:line="252" w:lineRule="auto"/>
            </w:pPr>
            <w:r>
              <w:rPr>
                <w:rFonts w:ascii="Arial Unicode MS" w:hAnsi="Arial Unicode MS" w:eastAsia="Arial Unicode MS" w:cs="Arial Unicode MS"/>
                <w:b w:val="0"/>
                <w:i w:val="0"/>
                <w:color w:val="18332D"/>
                <w:sz w:val="17"/>
              </w:rPr>
              <w:t>交付移动端、键盘、三档字号检查，以及问题清单和修正建议。</w:t>
            </w:r>
          </w:p>
        </w:tc>
      </w:tr>
    </w:tbl>
    <w:p>
      <w:pPr>
        <w:pStyle w:val="Heading1"/>
      </w:pPr>
      <w:r>
        <w:t>书面验收口径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B8C8C0"/>
          <w:left w:val="single" w:sz="6" w:color="B8C8C0"/>
          <w:bottom w:val="single" w:sz="6" w:color="B8C8C0"/>
          <w:right w:val="single" w:sz="6" w:color="B8C8C0"/>
          <w:insideH w:val="single" w:sz="6" w:color="B8C8C0"/>
          <w:insideV w:val="single" w:sz="6" w:color="B8C8C0"/>
        </w:tblBorders>
      </w:tblPr>
      <w:tblGrid>
        <w:gridCol w:w="620"/>
        <w:gridCol w:w="8740"/>
      </w:tblGrid>
      <w:tr>
        <w:tc>
          <w:tcPr>
            <w:tcW w:type="dxa" w:w="620"/>
            <w:shd w:fill="9A7430"/>
            <w:tcMar>
              <w:top w:w="85" w:type="dxa"/>
              <w:start w:w="130" w:type="dxa"/>
              <w:bottom w:w="85" w:type="dxa"/>
              <w:end w:w="130" w:type="dxa"/>
            </w:tcMar>
            <w:vAlign w:val="center"/>
          </w:tcPr>
          <w:p>
            <w:pPr>
              <w:jc w:val="center"/>
            </w:pPr>
            <w:r>
              <w:rPr>
                <w:rFonts w:ascii="Arial Unicode MS" w:hAnsi="Arial Unicode MS" w:eastAsia="Arial Unicode MS" w:cs="Arial Unicode MS"/>
                <w:b/>
                <w:i w:val="0"/>
                <w:color w:val="FFFFFF"/>
                <w:sz w:val="26"/>
              </w:rPr>
              <w:t>1</w:t>
            </w:r>
          </w:p>
        </w:tc>
        <w:tc>
          <w:tcPr>
            <w:tcW w:type="dxa" w:w="8740"/>
            <w:shd w:fill="FFFFFF"/>
            <w:tcMar>
              <w:top w:w="85" w:type="dxa"/>
              <w:start w:w="130" w:type="dxa"/>
              <w:bottom w:w="85" w:type="dxa"/>
              <w:end w:w="130" w:type="dxa"/>
            </w:tcMar>
            <w:vAlign w:val="center"/>
          </w:tcPr>
          <w:p>
            <w:pPr>
              <w:spacing w:after="40"/>
            </w:pPr>
            <w:r/>
            <w:r>
              <w:rPr>
                <w:rFonts w:ascii="Arial Unicode MS" w:hAnsi="Arial Unicode MS" w:eastAsia="Arial Unicode MS" w:cs="Arial Unicode MS"/>
                <w:b/>
                <w:i w:val="0"/>
                <w:color w:val="164C3E"/>
                <w:sz w:val="20"/>
              </w:rPr>
              <w:t>先认清药</w:t>
            </w:r>
          </w:p>
          <w:p>
            <w:pPr>
              <w:spacing w:after="0" w:line="252" w:lineRule="auto"/>
            </w:pPr>
            <w:r>
              <w:rPr>
                <w:rFonts w:ascii="Arial Unicode MS" w:hAnsi="Arial Unicode MS" w:eastAsia="Arial Unicode MS" w:cs="Arial Unicode MS"/>
                <w:b w:val="0"/>
                <w:i w:val="0"/>
                <w:color w:val="18332D"/>
                <w:sz w:val="17"/>
              </w:rPr>
              <w:t>页面首先出现名称、剂型、规格和市场，不跨产品或市场混写。</w:t>
            </w:r>
          </w:p>
        </w:tc>
      </w:tr>
      <w:tr>
        <w:tc>
          <w:tcPr>
            <w:tcW w:type="dxa" w:w="620"/>
            <w:shd w:fill="9A7430"/>
            <w:tcMar>
              <w:top w:w="85" w:type="dxa"/>
              <w:start w:w="130" w:type="dxa"/>
              <w:bottom w:w="85" w:type="dxa"/>
              <w:end w:w="130" w:type="dxa"/>
            </w:tcMar>
            <w:vAlign w:val="center"/>
          </w:tcPr>
          <w:p>
            <w:pPr>
              <w:jc w:val="center"/>
            </w:pPr>
            <w:r>
              <w:rPr>
                <w:rFonts w:ascii="Arial Unicode MS" w:hAnsi="Arial Unicode MS" w:eastAsia="Arial Unicode MS" w:cs="Arial Unicode MS"/>
                <w:b/>
                <w:i w:val="0"/>
                <w:color w:val="FFFFFF"/>
                <w:sz w:val="26"/>
              </w:rPr>
              <w:t>2</w:t>
            </w:r>
          </w:p>
        </w:tc>
        <w:tc>
          <w:tcPr>
            <w:tcW w:type="dxa" w:w="8740"/>
            <w:shd w:fill="FFFFFF"/>
            <w:tcMar>
              <w:top w:w="85" w:type="dxa"/>
              <w:start w:w="130" w:type="dxa"/>
              <w:bottom w:w="85" w:type="dxa"/>
              <w:end w:w="130" w:type="dxa"/>
            </w:tcMar>
            <w:vAlign w:val="center"/>
          </w:tcPr>
          <w:p>
            <w:pPr>
              <w:spacing w:after="40"/>
            </w:pPr>
            <w:r/>
            <w:r>
              <w:rPr>
                <w:rFonts w:ascii="Arial Unicode MS" w:hAnsi="Arial Unicode MS" w:eastAsia="Arial Unicode MS" w:cs="Arial Unicode MS"/>
                <w:b/>
                <w:i w:val="0"/>
                <w:color w:val="164C3E"/>
                <w:sz w:val="20"/>
              </w:rPr>
              <w:t>再看懂数字</w:t>
            </w:r>
          </w:p>
          <w:p>
            <w:pPr>
              <w:spacing w:after="0" w:line="252" w:lineRule="auto"/>
            </w:pPr>
            <w:r>
              <w:rPr>
                <w:rFonts w:ascii="Arial Unicode MS" w:hAnsi="Arial Unicode MS" w:eastAsia="Arial Unicode MS" w:cs="Arial Unicode MS"/>
                <w:b w:val="0"/>
                <w:i w:val="0"/>
                <w:color w:val="18332D"/>
                <w:sz w:val="17"/>
              </w:rPr>
              <w:t>重要数字说明每片、每粒或每毫升的计量基础，并标明不可擅自掰开等边界。</w:t>
            </w:r>
          </w:p>
        </w:tc>
      </w:tr>
      <w:tr>
        <w:tc>
          <w:tcPr>
            <w:tcW w:type="dxa" w:w="620"/>
            <w:shd w:fill="9A7430"/>
            <w:tcMar>
              <w:top w:w="85" w:type="dxa"/>
              <w:start w:w="130" w:type="dxa"/>
              <w:bottom w:w="85" w:type="dxa"/>
              <w:end w:w="130" w:type="dxa"/>
            </w:tcMar>
            <w:vAlign w:val="center"/>
          </w:tcPr>
          <w:p>
            <w:pPr>
              <w:jc w:val="center"/>
            </w:pPr>
            <w:r>
              <w:rPr>
                <w:rFonts w:ascii="Arial Unicode MS" w:hAnsi="Arial Unicode MS" w:eastAsia="Arial Unicode MS" w:cs="Arial Unicode MS"/>
                <w:b/>
                <w:i w:val="0"/>
                <w:color w:val="FFFFFF"/>
                <w:sz w:val="26"/>
              </w:rPr>
              <w:t>3</w:t>
            </w:r>
          </w:p>
        </w:tc>
        <w:tc>
          <w:tcPr>
            <w:tcW w:type="dxa" w:w="8740"/>
            <w:shd w:fill="FFFFFF"/>
            <w:tcMar>
              <w:top w:w="85" w:type="dxa"/>
              <w:start w:w="130" w:type="dxa"/>
              <w:bottom w:w="85" w:type="dxa"/>
              <w:end w:w="130" w:type="dxa"/>
            </w:tcMar>
            <w:vAlign w:val="center"/>
          </w:tcPr>
          <w:p>
            <w:pPr>
              <w:spacing w:after="40"/>
            </w:pPr>
            <w:r/>
            <w:r>
              <w:rPr>
                <w:rFonts w:ascii="Arial Unicode MS" w:hAnsi="Arial Unicode MS" w:eastAsia="Arial Unicode MS" w:cs="Arial Unicode MS"/>
                <w:b/>
                <w:i w:val="0"/>
                <w:color w:val="164C3E"/>
                <w:sz w:val="20"/>
              </w:rPr>
              <w:t>最后知道问谁</w:t>
            </w:r>
          </w:p>
          <w:p>
            <w:pPr>
              <w:spacing w:after="0" w:line="252" w:lineRule="auto"/>
            </w:pPr>
            <w:r>
              <w:rPr>
                <w:rFonts w:ascii="Arial Unicode MS" w:hAnsi="Arial Unicode MS" w:eastAsia="Arial Unicode MS" w:cs="Arial Unicode MS"/>
                <w:b w:val="0"/>
                <w:i w:val="0"/>
                <w:color w:val="18332D"/>
                <w:sz w:val="17"/>
              </w:rPr>
              <w:t>页面给出咨询医生或药师的行动路径，不生成个人剂量、停换药或购买结论。</w:t>
            </w:r>
          </w:p>
        </w:tc>
      </w:tr>
    </w:tbl>
    <w:p>
      <w:pPr>
        <w:pStyle w:val="Heading1"/>
      </w:pPr>
      <w:r>
        <w:t>最小启动范围与商业边界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8" w:color="9A7430"/>
          <w:left w:val="single" w:sz="8" w:color="9A7430"/>
          <w:bottom w:val="single" w:sz="8" w:color="9A7430"/>
          <w:right w:val="single" w:sz="8" w:color="9A7430"/>
          <w:insideH w:val="single" w:sz="8" w:color="9A7430"/>
          <w:insideV w:val="single" w:sz="8" w:color="9A7430"/>
        </w:tblBorders>
      </w:tblPr>
      <w:tblGrid>
        <w:gridCol w:w="9360"/>
      </w:tblGrid>
      <w:tr>
        <w:tc>
          <w:tcPr>
            <w:tcW w:type="dxa" w:w="9360"/>
            <w:shd w:fill="F4F0E6"/>
            <w:tcMar>
              <w:top w:w="85" w:type="dxa"/>
              <w:start w:w="130" w:type="dxa"/>
              <w:bottom w:w="85" w:type="dxa"/>
              <w:end w:w="130" w:type="dxa"/>
            </w:tcMar>
            <w:vAlign w:val="center"/>
          </w:tcPr>
          <w:p>
            <w:pPr>
              <w:spacing w:after="40"/>
            </w:pPr>
            <w:r/>
            <w:r>
              <w:rPr>
                <w:rFonts w:ascii="Arial Unicode MS" w:hAnsi="Arial Unicode MS" w:eastAsia="Arial Unicode MS" w:cs="Arial Unicode MS"/>
                <w:b/>
                <w:i w:val="0"/>
                <w:color w:val="9A7430"/>
                <w:sz w:val="20"/>
              </w:rPr>
              <w:t>最小启动范围与商业边界</w:t>
            </w:r>
          </w:p>
          <w:p>
            <w:pPr>
              <w:spacing w:after="0" w:line="252" w:lineRule="auto"/>
            </w:pPr>
            <w:r>
              <w:rPr>
                <w:rFonts w:ascii="Arial Unicode MS" w:hAnsi="Arial Unicode MS" w:eastAsia="Arial Unicode MS" w:cs="Arial Unicode MS"/>
                <w:b w:val="0"/>
                <w:i w:val="0"/>
                <w:color w:val="18332D"/>
                <w:sz w:val="17"/>
              </w:rPr>
              <w:t>1 个真实药品页面或组件流程，中英文、移动端、键盘和三档字号一次性验收。金额待财务最终确认。试点评估公开信息的阅读与无障碍表现，不提供诊断、处方、个人用药方案、药品销售、处方流转或患者健康数据收集。</w:t>
            </w:r>
          </w:p>
        </w:tc>
      </w:tr>
    </w:tbl>
    <w:p>
      <w:pPr>
        <w:spacing w:before="140" w:after="20"/>
      </w:pPr>
      <w:r>
        <w:rPr>
          <w:rFonts w:ascii="Arial Unicode MS" w:hAnsi="Arial Unicode MS" w:eastAsia="Arial Unicode MS" w:cs="Arial Unicode MS"/>
          <w:b/>
          <w:i w:val="0"/>
          <w:color w:val="0C3128"/>
          <w:sz w:val="18"/>
        </w:rPr>
        <w:t xml:space="preserve">发送机构官网、目标页面、主要读者、现有链接和期望时间，获取书面范围与报价： </w:t>
      </w:r>
      <w:hyperlink r:id="rId11">
        <w:r>
          <w:rPr>
            <w:rFonts w:ascii="STSong" w:hAnsi="STSong" w:eastAsia="STSong"/>
            <w:color w:val="164C3E"/>
            <w:sz w:val="18"/>
            <w:b/>
            <w:u w:val="single"/>
          </w:rPr>
          <w:t>stevenyiqingli@foxmail.com</w:t>
        </w:r>
      </w:hyperlink>
    </w:p>
    <w:p>
      <w:r>
        <w:br w:type="page"/>
      </w:r>
    </w:p>
    <w:p>
      <w:pPr>
        <w:spacing w:before="40" w:after="40"/>
      </w:pPr>
      <w:r>
        <w:rPr>
          <w:rFonts w:ascii="Arial Unicode MS" w:hAnsi="Arial Unicode MS" w:eastAsia="Arial Unicode MS" w:cs="Arial Unicode MS"/>
          <w:b/>
          <w:i w:val="0"/>
          <w:color w:val="9A7430"/>
          <w:sz w:val="17"/>
        </w:rPr>
        <w:t>PHARMACY AND PATIENT-EDUCATION TEAMS · PAID PILOT</w:t>
      </w:r>
    </w:p>
    <w:p>
      <w:pPr>
        <w:spacing w:after="40"/>
      </w:pPr>
      <w:r>
        <w:rPr>
          <w:rFonts w:ascii="Arial Unicode MS" w:hAnsi="Arial Unicode MS" w:eastAsia="Arial Unicode MS" w:cs="Arial Unicode MS"/>
          <w:b/>
          <w:i w:val="0"/>
          <w:color w:val="0C3128"/>
          <w:sz w:val="40"/>
        </w:rPr>
        <w:t>Test one real page for older-reader clarity and accessibility</w:t>
      </w:r>
    </w:p>
    <w:p>
      <w:pPr>
        <w:spacing w:after="120"/>
      </w:pPr>
      <w:r>
        <w:rPr>
          <w:rFonts w:ascii="Arial Unicode MS" w:hAnsi="Arial Unicode MS" w:eastAsia="Arial Unicode MS" w:cs="Arial Unicode MS"/>
          <w:b/>
          <w:i w:val="0"/>
          <w:color w:val="52655F"/>
          <w:sz w:val="20"/>
        </w:rPr>
        <w:t>Turn exact medicine identity, enlarged reading and question routing into an accepted deliverable.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0C3128"/>
          <w:left w:val="single" w:sz="4" w:color="0C3128"/>
          <w:bottom w:val="single" w:sz="4" w:color="0C3128"/>
          <w:right w:val="single" w:sz="4" w:color="0C3128"/>
          <w:insideH w:val="single" w:sz="4" w:color="0C3128"/>
          <w:insideV w:val="single" w:sz="4" w:color="0C3128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0C3128"/>
            <w:tcMar>
              <w:top w:w="85" w:type="dxa"/>
              <w:start w:w="130" w:type="dxa"/>
              <w:bottom w:w="85" w:type="dxa"/>
              <w:end w:w="130" w:type="dxa"/>
            </w:tcMar>
            <w:vAlign w:val="center"/>
          </w:tcPr>
          <w:p>
            <w:pPr>
              <w:spacing w:after="20"/>
              <w:jc w:val="center"/>
            </w:pPr>
            <w:r/>
            <w:r>
              <w:rPr>
                <w:rFonts w:ascii="Arial Unicode MS" w:hAnsi="Arial Unicode MS" w:eastAsia="Arial Unicode MS" w:cs="Arial Unicode MS"/>
                <w:b/>
                <w:i w:val="0"/>
                <w:color w:val="FFFFFF"/>
                <w:sz w:val="32"/>
              </w:rPr>
              <w:t>1</w:t>
            </w:r>
          </w:p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 w:val="0"/>
                <w:i w:val="0"/>
                <w:color w:val="FFFFFF"/>
                <w:sz w:val="15"/>
              </w:rPr>
              <w:t>real medicine page</w:t>
            </w:r>
          </w:p>
        </w:tc>
        <w:tc>
          <w:tcPr>
            <w:tcW w:type="dxa" w:w="2340"/>
            <w:shd w:fill="0C3128"/>
            <w:tcMar>
              <w:top w:w="85" w:type="dxa"/>
              <w:start w:w="130" w:type="dxa"/>
              <w:bottom w:w="85" w:type="dxa"/>
              <w:end w:w="130" w:type="dxa"/>
            </w:tcMar>
            <w:vAlign w:val="center"/>
          </w:tcPr>
          <w:p>
            <w:pPr>
              <w:spacing w:after="20"/>
              <w:jc w:val="center"/>
            </w:pPr>
            <w:r/>
            <w:r>
              <w:rPr>
                <w:rFonts w:ascii="Arial Unicode MS" w:hAnsi="Arial Unicode MS" w:eastAsia="Arial Unicode MS" w:cs="Arial Unicode MS"/>
                <w:b/>
                <w:i w:val="0"/>
                <w:color w:val="FFFFFF"/>
                <w:sz w:val="32"/>
              </w:rPr>
              <w:t>ZH / EN</w:t>
            </w:r>
          </w:p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 w:val="0"/>
                <w:i w:val="0"/>
                <w:color w:val="FFFFFF"/>
                <w:sz w:val="15"/>
              </w:rPr>
              <w:t>bilingual reading</w:t>
            </w:r>
          </w:p>
        </w:tc>
        <w:tc>
          <w:tcPr>
            <w:tcW w:type="dxa" w:w="2340"/>
            <w:shd w:fill="0C3128"/>
            <w:tcMar>
              <w:top w:w="85" w:type="dxa"/>
              <w:start w:w="130" w:type="dxa"/>
              <w:bottom w:w="85" w:type="dxa"/>
              <w:end w:w="130" w:type="dxa"/>
            </w:tcMar>
            <w:vAlign w:val="center"/>
          </w:tcPr>
          <w:p>
            <w:pPr>
              <w:spacing w:after="20"/>
              <w:jc w:val="center"/>
            </w:pPr>
            <w:r/>
            <w:r>
              <w:rPr>
                <w:rFonts w:ascii="Arial Unicode MS" w:hAnsi="Arial Unicode MS" w:eastAsia="Arial Unicode MS" w:cs="Arial Unicode MS"/>
                <w:b/>
                <w:i w:val="0"/>
                <w:color w:val="FFFFFF"/>
                <w:sz w:val="32"/>
              </w:rPr>
              <w:t>3</w:t>
            </w:r>
          </w:p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 w:val="0"/>
                <w:i w:val="0"/>
                <w:color w:val="FFFFFF"/>
                <w:sz w:val="15"/>
              </w:rPr>
              <w:t>text sizes</w:t>
            </w:r>
          </w:p>
        </w:tc>
        <w:tc>
          <w:tcPr>
            <w:tcW w:type="dxa" w:w="2340"/>
            <w:shd w:fill="0C3128"/>
            <w:tcMar>
              <w:top w:w="85" w:type="dxa"/>
              <w:start w:w="130" w:type="dxa"/>
              <w:bottom w:w="85" w:type="dxa"/>
              <w:end w:w="130" w:type="dxa"/>
            </w:tcMar>
            <w:vAlign w:val="center"/>
          </w:tcPr>
          <w:p>
            <w:pPr>
              <w:spacing w:after="20"/>
              <w:jc w:val="center"/>
            </w:pPr>
            <w:r/>
            <w:r>
              <w:rPr>
                <w:rFonts w:ascii="Arial Unicode MS" w:hAnsi="Arial Unicode MS" w:eastAsia="Arial Unicode MS" w:cs="Arial Unicode MS"/>
                <w:b/>
                <w:i w:val="0"/>
                <w:color w:val="FFFFFF"/>
                <w:sz w:val="32"/>
              </w:rPr>
              <w:t>mobile + keyboard</w:t>
            </w:r>
          </w:p>
          <w:p>
            <w:pPr>
              <w:spacing w:after="0"/>
              <w:jc w:val="center"/>
            </w:pPr>
            <w:r>
              <w:rPr>
                <w:rFonts w:ascii="Arial Unicode MS" w:hAnsi="Arial Unicode MS" w:eastAsia="Arial Unicode MS" w:cs="Arial Unicode MS"/>
                <w:b w:val="0"/>
                <w:i w:val="0"/>
                <w:color w:val="FFFFFF"/>
                <w:sz w:val="15"/>
              </w:rPr>
              <w:t>accessibility checks</w:t>
            </w:r>
          </w:p>
        </w:tc>
      </w:tr>
    </w:tbl>
    <w:p>
      <w:pPr>
        <w:pStyle w:val="Heading1"/>
      </w:pPr>
      <w:r>
        <w:t>What procurement receives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B8C8C0"/>
          <w:left w:val="single" w:sz="6" w:color="B8C8C0"/>
          <w:bottom w:val="single" w:sz="6" w:color="B8C8C0"/>
          <w:right w:val="single" w:sz="6" w:color="B8C8C0"/>
          <w:insideH w:val="single" w:sz="6" w:color="B8C8C0"/>
          <w:insideV w:val="single" w:sz="6" w:color="B8C8C0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shd w:fill="E7F0EA"/>
            <w:tcMar>
              <w:top w:w="85" w:type="dxa"/>
              <w:start w:w="130" w:type="dxa"/>
              <w:bottom w:w="85" w:type="dxa"/>
              <w:end w:w="130" w:type="dxa"/>
            </w:tcMar>
            <w:vAlign w:val="center"/>
          </w:tcPr>
          <w:p>
            <w:pPr>
              <w:spacing w:after="40"/>
            </w:pPr>
            <w:r/>
            <w:r>
              <w:rPr>
                <w:rFonts w:ascii="Arial Unicode MS" w:hAnsi="Arial Unicode MS" w:eastAsia="Arial Unicode MS" w:cs="Arial Unicode MS"/>
                <w:b/>
                <w:i w:val="0"/>
                <w:color w:val="164C3E"/>
                <w:sz w:val="20"/>
              </w:rPr>
              <w:t>Ordinary-reader summary</w:t>
            </w:r>
          </w:p>
          <w:p>
            <w:pPr>
              <w:spacing w:after="0" w:line="252" w:lineRule="auto"/>
            </w:pPr>
            <w:r>
              <w:rPr>
                <w:rFonts w:ascii="Arial Unicode MS" w:hAnsi="Arial Unicode MS" w:eastAsia="Arial Unicode MS" w:cs="Arial Unicode MS"/>
                <w:b w:val="0"/>
                <w:i w:val="0"/>
                <w:color w:val="18332D"/>
                <w:sz w:val="17"/>
              </w:rPr>
              <w:t>Three sentences explaining the medicine, its identity boundary and where to verify next.</w:t>
            </w:r>
          </w:p>
        </w:tc>
        <w:tc>
          <w:tcPr>
            <w:tcW w:type="dxa" w:w="3120"/>
            <w:shd w:fill="E7F0EA"/>
            <w:tcMar>
              <w:top w:w="85" w:type="dxa"/>
              <w:start w:w="130" w:type="dxa"/>
              <w:bottom w:w="85" w:type="dxa"/>
              <w:end w:w="130" w:type="dxa"/>
            </w:tcMar>
            <w:vAlign w:val="center"/>
          </w:tcPr>
          <w:p>
            <w:pPr>
              <w:spacing w:after="40"/>
            </w:pPr>
            <w:r/>
            <w:r>
              <w:rPr>
                <w:rFonts w:ascii="Arial Unicode MS" w:hAnsi="Arial Unicode MS" w:eastAsia="Arial Unicode MS" w:cs="Arial Unicode MS"/>
                <w:b/>
                <w:i w:val="0"/>
                <w:color w:val="164C3E"/>
                <w:sz w:val="20"/>
              </w:rPr>
              <w:t>Older-reader path</w:t>
            </w:r>
          </w:p>
          <w:p>
            <w:pPr>
              <w:spacing w:after="0" w:line="252" w:lineRule="auto"/>
            </w:pPr>
            <w:r>
              <w:rPr>
                <w:rFonts w:ascii="Arial Unicode MS" w:hAnsi="Arial Unicode MS" w:eastAsia="Arial Unicode MS" w:cs="Arial Unicode MS"/>
                <w:b w:val="0"/>
                <w:i w:val="0"/>
                <w:color w:val="18332D"/>
                <w:sz w:val="17"/>
              </w:rPr>
              <w:t>Name, form, strength, market, important numbers and enlarged leaflet access appear first.</w:t>
            </w:r>
          </w:p>
        </w:tc>
        <w:tc>
          <w:tcPr>
            <w:tcW w:type="dxa" w:w="3120"/>
            <w:shd w:fill="E7F0EA"/>
            <w:tcMar>
              <w:top w:w="85" w:type="dxa"/>
              <w:start w:w="130" w:type="dxa"/>
              <w:bottom w:w="85" w:type="dxa"/>
              <w:end w:w="130" w:type="dxa"/>
            </w:tcMar>
            <w:vAlign w:val="center"/>
          </w:tcPr>
          <w:p>
            <w:pPr>
              <w:spacing w:after="40"/>
            </w:pPr>
            <w:r/>
            <w:r>
              <w:rPr>
                <w:rFonts w:ascii="Arial Unicode MS" w:hAnsi="Arial Unicode MS" w:eastAsia="Arial Unicode MS" w:cs="Arial Unicode MS"/>
                <w:b/>
                <w:i w:val="0"/>
                <w:color w:val="164C3E"/>
                <w:sz w:val="20"/>
              </w:rPr>
              <w:t>Findings and corrections</w:t>
            </w:r>
          </w:p>
          <w:p>
            <w:pPr>
              <w:spacing w:after="0" w:line="252" w:lineRule="auto"/>
            </w:pPr>
            <w:r>
              <w:rPr>
                <w:rFonts w:ascii="Arial Unicode MS" w:hAnsi="Arial Unicode MS" w:eastAsia="Arial Unicode MS" w:cs="Arial Unicode MS"/>
                <w:b w:val="0"/>
                <w:i w:val="0"/>
                <w:color w:val="18332D"/>
                <w:sz w:val="17"/>
              </w:rPr>
              <w:t>Mobile, keyboard and three-size checks plus a findings register and correction recommendations.</w:t>
            </w:r>
          </w:p>
        </w:tc>
      </w:tr>
    </w:tbl>
    <w:p>
      <w:pPr>
        <w:pStyle w:val="Heading1"/>
      </w:pPr>
      <w:r>
        <w:t>Written acceptance criteria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B8C8C0"/>
          <w:left w:val="single" w:sz="6" w:color="B8C8C0"/>
          <w:bottom w:val="single" w:sz="6" w:color="B8C8C0"/>
          <w:right w:val="single" w:sz="6" w:color="B8C8C0"/>
          <w:insideH w:val="single" w:sz="6" w:color="B8C8C0"/>
          <w:insideV w:val="single" w:sz="6" w:color="B8C8C0"/>
        </w:tblBorders>
      </w:tblPr>
      <w:tblGrid>
        <w:gridCol w:w="620"/>
        <w:gridCol w:w="8740"/>
      </w:tblGrid>
      <w:tr>
        <w:tc>
          <w:tcPr>
            <w:tcW w:type="dxa" w:w="620"/>
            <w:shd w:fill="9A7430"/>
            <w:tcMar>
              <w:top w:w="85" w:type="dxa"/>
              <w:start w:w="130" w:type="dxa"/>
              <w:bottom w:w="85" w:type="dxa"/>
              <w:end w:w="130" w:type="dxa"/>
            </w:tcMar>
            <w:vAlign w:val="center"/>
          </w:tcPr>
          <w:p>
            <w:pPr>
              <w:jc w:val="center"/>
            </w:pPr>
            <w:r>
              <w:rPr>
                <w:rFonts w:ascii="Arial Unicode MS" w:hAnsi="Arial Unicode MS" w:eastAsia="Arial Unicode MS" w:cs="Arial Unicode MS"/>
                <w:b/>
                <w:i w:val="0"/>
                <w:color w:val="FFFFFF"/>
                <w:sz w:val="26"/>
              </w:rPr>
              <w:t>1</w:t>
            </w:r>
          </w:p>
        </w:tc>
        <w:tc>
          <w:tcPr>
            <w:tcW w:type="dxa" w:w="8740"/>
            <w:shd w:fill="FFFFFF"/>
            <w:tcMar>
              <w:top w:w="85" w:type="dxa"/>
              <w:start w:w="130" w:type="dxa"/>
              <w:bottom w:w="85" w:type="dxa"/>
              <w:end w:w="130" w:type="dxa"/>
            </w:tcMar>
            <w:vAlign w:val="center"/>
          </w:tcPr>
          <w:p>
            <w:pPr>
              <w:spacing w:after="40"/>
            </w:pPr>
            <w:r/>
            <w:r>
              <w:rPr>
                <w:rFonts w:ascii="Arial Unicode MS" w:hAnsi="Arial Unicode MS" w:eastAsia="Arial Unicode MS" w:cs="Arial Unicode MS"/>
                <w:b/>
                <w:i w:val="0"/>
                <w:color w:val="164C3E"/>
                <w:sz w:val="20"/>
              </w:rPr>
              <w:t>Identify first</w:t>
            </w:r>
          </w:p>
          <w:p>
            <w:pPr>
              <w:spacing w:after="0" w:line="252" w:lineRule="auto"/>
            </w:pPr>
            <w:r>
              <w:rPr>
                <w:rFonts w:ascii="Arial Unicode MS" w:hAnsi="Arial Unicode MS" w:eastAsia="Arial Unicode MS" w:cs="Arial Unicode MS"/>
                <w:b w:val="0"/>
                <w:i w:val="0"/>
                <w:color w:val="18332D"/>
                <w:sz w:val="17"/>
              </w:rPr>
              <w:t>The page starts with name, form, strength and market without merging products or markets.</w:t>
            </w:r>
          </w:p>
        </w:tc>
      </w:tr>
      <w:tr>
        <w:tc>
          <w:tcPr>
            <w:tcW w:type="dxa" w:w="620"/>
            <w:shd w:fill="9A7430"/>
            <w:tcMar>
              <w:top w:w="85" w:type="dxa"/>
              <w:start w:w="130" w:type="dxa"/>
              <w:bottom w:w="85" w:type="dxa"/>
              <w:end w:w="130" w:type="dxa"/>
            </w:tcMar>
            <w:vAlign w:val="center"/>
          </w:tcPr>
          <w:p>
            <w:pPr>
              <w:jc w:val="center"/>
            </w:pPr>
            <w:r>
              <w:rPr>
                <w:rFonts w:ascii="Arial Unicode MS" w:hAnsi="Arial Unicode MS" w:eastAsia="Arial Unicode MS" w:cs="Arial Unicode MS"/>
                <w:b/>
                <w:i w:val="0"/>
                <w:color w:val="FFFFFF"/>
                <w:sz w:val="26"/>
              </w:rPr>
              <w:t>2</w:t>
            </w:r>
          </w:p>
        </w:tc>
        <w:tc>
          <w:tcPr>
            <w:tcW w:type="dxa" w:w="8740"/>
            <w:shd w:fill="FFFFFF"/>
            <w:tcMar>
              <w:top w:w="85" w:type="dxa"/>
              <w:start w:w="130" w:type="dxa"/>
              <w:bottom w:w="85" w:type="dxa"/>
              <w:end w:w="130" w:type="dxa"/>
            </w:tcMar>
            <w:vAlign w:val="center"/>
          </w:tcPr>
          <w:p>
            <w:pPr>
              <w:spacing w:after="40"/>
            </w:pPr>
            <w:r/>
            <w:r>
              <w:rPr>
                <w:rFonts w:ascii="Arial Unicode MS" w:hAnsi="Arial Unicode MS" w:eastAsia="Arial Unicode MS" w:cs="Arial Unicode MS"/>
                <w:b/>
                <w:i w:val="0"/>
                <w:color w:val="164C3E"/>
                <w:sz w:val="20"/>
              </w:rPr>
              <w:t>Understand the numbers</w:t>
            </w:r>
          </w:p>
          <w:p>
            <w:pPr>
              <w:spacing w:after="0" w:line="252" w:lineRule="auto"/>
            </w:pPr>
            <w:r>
              <w:rPr>
                <w:rFonts w:ascii="Arial Unicode MS" w:hAnsi="Arial Unicode MS" w:eastAsia="Arial Unicode MS" w:cs="Arial Unicode MS"/>
                <w:b w:val="0"/>
                <w:i w:val="0"/>
                <w:color w:val="18332D"/>
                <w:sz w:val="17"/>
              </w:rPr>
              <w:t>Important numbers state their per-tablet, per-capsule or per-mL basis and show do-not-split boundaries.</w:t>
            </w:r>
          </w:p>
        </w:tc>
      </w:tr>
      <w:tr>
        <w:tc>
          <w:tcPr>
            <w:tcW w:type="dxa" w:w="620"/>
            <w:shd w:fill="9A7430"/>
            <w:tcMar>
              <w:top w:w="85" w:type="dxa"/>
              <w:start w:w="130" w:type="dxa"/>
              <w:bottom w:w="85" w:type="dxa"/>
              <w:end w:w="130" w:type="dxa"/>
            </w:tcMar>
            <w:vAlign w:val="center"/>
          </w:tcPr>
          <w:p>
            <w:pPr>
              <w:jc w:val="center"/>
            </w:pPr>
            <w:r>
              <w:rPr>
                <w:rFonts w:ascii="Arial Unicode MS" w:hAnsi="Arial Unicode MS" w:eastAsia="Arial Unicode MS" w:cs="Arial Unicode MS"/>
                <w:b/>
                <w:i w:val="0"/>
                <w:color w:val="FFFFFF"/>
                <w:sz w:val="26"/>
              </w:rPr>
              <w:t>3</w:t>
            </w:r>
          </w:p>
        </w:tc>
        <w:tc>
          <w:tcPr>
            <w:tcW w:type="dxa" w:w="8740"/>
            <w:shd w:fill="FFFFFF"/>
            <w:tcMar>
              <w:top w:w="85" w:type="dxa"/>
              <w:start w:w="130" w:type="dxa"/>
              <w:bottom w:w="85" w:type="dxa"/>
              <w:end w:w="130" w:type="dxa"/>
            </w:tcMar>
            <w:vAlign w:val="center"/>
          </w:tcPr>
          <w:p>
            <w:pPr>
              <w:spacing w:after="40"/>
            </w:pPr>
            <w:r/>
            <w:r>
              <w:rPr>
                <w:rFonts w:ascii="Arial Unicode MS" w:hAnsi="Arial Unicode MS" w:eastAsia="Arial Unicode MS" w:cs="Arial Unicode MS"/>
                <w:b/>
                <w:i w:val="0"/>
                <w:color w:val="164C3E"/>
                <w:sz w:val="20"/>
              </w:rPr>
              <w:t>Know whom to ask</w:t>
            </w:r>
          </w:p>
          <w:p>
            <w:pPr>
              <w:spacing w:after="0" w:line="252" w:lineRule="auto"/>
            </w:pPr>
            <w:r>
              <w:rPr>
                <w:rFonts w:ascii="Arial Unicode MS" w:hAnsi="Arial Unicode MS" w:eastAsia="Arial Unicode MS" w:cs="Arial Unicode MS"/>
                <w:b w:val="0"/>
                <w:i w:val="0"/>
                <w:color w:val="18332D"/>
                <w:sz w:val="17"/>
              </w:rPr>
              <w:t>The page routes questions to a doctor or pharmacist without generating individual dosing, switching or purchase conclusions.</w:t>
            </w:r>
          </w:p>
        </w:tc>
      </w:tr>
    </w:tbl>
    <w:p>
      <w:pPr>
        <w:pStyle w:val="Heading1"/>
      </w:pPr>
      <w:r>
        <w:t>Minimum scope and commercial boundary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8" w:color="9A7430"/>
          <w:left w:val="single" w:sz="8" w:color="9A7430"/>
          <w:bottom w:val="single" w:sz="8" w:color="9A7430"/>
          <w:right w:val="single" w:sz="8" w:color="9A7430"/>
          <w:insideH w:val="single" w:sz="8" w:color="9A7430"/>
          <w:insideV w:val="single" w:sz="8" w:color="9A7430"/>
        </w:tblBorders>
      </w:tblPr>
      <w:tblGrid>
        <w:gridCol w:w="9360"/>
      </w:tblGrid>
      <w:tr>
        <w:tc>
          <w:tcPr>
            <w:tcW w:type="dxa" w:w="9360"/>
            <w:shd w:fill="F4F0E6"/>
            <w:tcMar>
              <w:top w:w="85" w:type="dxa"/>
              <w:start w:w="130" w:type="dxa"/>
              <w:bottom w:w="85" w:type="dxa"/>
              <w:end w:w="130" w:type="dxa"/>
            </w:tcMar>
            <w:vAlign w:val="center"/>
          </w:tcPr>
          <w:p>
            <w:pPr>
              <w:spacing w:after="40"/>
            </w:pPr>
            <w:r/>
            <w:r>
              <w:rPr>
                <w:rFonts w:ascii="Arial Unicode MS" w:hAnsi="Arial Unicode MS" w:eastAsia="Arial Unicode MS" w:cs="Arial Unicode MS"/>
                <w:b/>
                <w:i w:val="0"/>
                <w:color w:val="9A7430"/>
                <w:sz w:val="20"/>
              </w:rPr>
              <w:t>Minimum scope and commercial boundary</w:t>
            </w:r>
          </w:p>
          <w:p>
            <w:pPr>
              <w:spacing w:after="0" w:line="252" w:lineRule="auto"/>
            </w:pPr>
            <w:r>
              <w:rPr>
                <w:rFonts w:ascii="Arial Unicode MS" w:hAnsi="Arial Unicode MS" w:eastAsia="Arial Unicode MS" w:cs="Arial Unicode MS"/>
                <w:b w:val="0"/>
                <w:i w:val="0"/>
                <w:color w:val="18332D"/>
                <w:sz w:val="17"/>
              </w:rPr>
              <w:t>One real medicine page or component workflow with Chinese/English, mobile, keyboard and three text-size checks. Pricing remains subject to final financial confirmation. The pilot assesses public-information reading and accessibility; it does not diagnose, prescribe, generate an individual regimen, sell medicines, route prescriptions or collect patient health data.</w:t>
            </w:r>
          </w:p>
        </w:tc>
      </w:tr>
    </w:tbl>
    <w:p>
      <w:pPr>
        <w:spacing w:before="140" w:after="20"/>
      </w:pPr>
      <w:r>
        <w:rPr>
          <w:rFonts w:ascii="Arial Unicode MS" w:hAnsi="Arial Unicode MS" w:eastAsia="Arial Unicode MS" w:cs="Arial Unicode MS"/>
          <w:b/>
          <w:i w:val="0"/>
          <w:color w:val="0C3128"/>
          <w:sz w:val="18"/>
        </w:rPr>
        <w:t xml:space="preserve">Send the organization website, target page, primary audience, current link and timing for a written scope and quotation: </w:t>
      </w:r>
      <w:hyperlink r:id="rId11">
        <w:r>
          <w:rPr>
            <w:rFonts w:ascii="STSong" w:hAnsi="STSong" w:eastAsia="STSong"/>
            <w:color w:val="164C3E"/>
            <w:sz w:val="18"/>
            <w:b/>
            <w:u w:val="single"/>
          </w:rPr>
          <w:t>stevenyiqingli@foxmail.com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embedRegular r:id="rIdOriginDrugEmbeddedFont" w:fontKey="{E2373FD7-3228-4E7B-B0E2-9522C1189181}" w:subsetted="tru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rFonts w:ascii="Arial Unicode MS" w:hAnsi="Arial Unicode MS" w:eastAsia="Arial Unicode MS" w:cs="Arial Unicode MS"/>
        <w:b w:val="0"/>
        <w:i w:val="0"/>
        <w:color w:val="52655F"/>
        <w:sz w:val="16"/>
      </w:rPr>
      <w:t>Steven Li · stevenyiqingli@foxmail.com · 2026-09-05.857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  <w:r>
      <w:rPr>
        <w:rFonts w:ascii="Arial Unicode MS" w:hAnsi="Arial Unicode MS" w:eastAsia="Arial Unicode MS" w:cs="Arial Unicode MS"/>
        <w:b/>
        <w:i w:val="0"/>
        <w:color w:val="52655F"/>
        <w:sz w:val="16"/>
      </w:rPr>
      <w:t>ORIGINDRUG · ACCESSIBLE PATIENT-EDUCATION PILOT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47" w:lineRule="auto"/>
    </w:pPr>
    <w:rPr>
      <w:rFonts w:ascii="Arial Unicode MS" w:hAnsi="Arial Unicode MS" w:eastAsia="Arial Unicode MS" w:cs="Arial Unicode MS"/>
      <w:color w:val="18332D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60"/>
      <w:outlineLvl w:val="0"/>
    </w:pPr>
    <w:rPr>
      <w:rFonts w:asciiTheme="majorHAnsi" w:eastAsiaTheme="majorEastAsia" w:hAnsiTheme="majorHAnsi" w:cstheme="majorBidi" w:ascii="Arial Unicode MS" w:hAnsi="Arial Unicode MS" w:eastAsia="Arial Unicode MS" w:cs="Arial Unicode MS"/>
      <w:b/>
      <w:bCs/>
      <w:color w:val="164C3E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 Unicode MS" w:hAnsi="Arial Unicode MS" w:eastAsia="Arial Unicode MS" w:cs="Arial Unicode MS"/>
      <w:b/>
      <w:bCs/>
      <w:color w:val="164C3E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 w:ascii="Arial Unicode MS" w:hAnsi="Arial Unicode MS" w:eastAsia="Arial Unicode MS" w:cs="Arial Unicode MS"/>
      <w:b/>
      <w:bCs/>
      <w:color w:val="18332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mailto:stevenyiqingli@foxmail.com" TargetMode="External"/></Relationships>
</file>

<file path=word/_rels/fontTable.xml.rels><?xml version='1.0' encoding='UTF-8' standalone='yes'?>
<ns0:Relationships xmlns:ns0="http://schemas.openxmlformats.org/package/2006/relationships"><ns0:Relationship Id="rIdOriginDrugEmbeddedFont" Type="http://schemas.openxmlformats.org/officeDocument/2006/relationships/font" Target="fonts/ArialUnicodeMS-OriginDrug.odttf"/></ns0: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用一个真实页面验证老人能否看清、看懂并知道下一步</dc:title>
  <dc:subject>OriginDrug bilingual institutional paid-pilot leave-behind</dc:subject>
  <dc:creator>OriginDrug · Steven Li</dc:creator>
  <cp:keywords>OriginDrug, paid pilot, procurement, medicine evidence, accessibility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